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F92B" w14:textId="77777777" w:rsidR="00F32F5A" w:rsidRDefault="00F32F5A" w:rsidP="00F32F5A">
      <w:pPr>
        <w:pStyle w:val="Heading11"/>
        <w:numPr>
          <w:ilvl w:val="0"/>
          <w:numId w:val="0"/>
        </w:numPr>
        <w:spacing w:before="40" w:after="40" w:line="264" w:lineRule="auto"/>
        <w:jc w:val="center"/>
        <w:rPr>
          <w:lang w:val="ca-ES"/>
        </w:rPr>
      </w:pPr>
    </w:p>
    <w:p w14:paraId="54383EA9" w14:textId="6FFE2D42" w:rsidR="00B86986" w:rsidRPr="00F52D42" w:rsidRDefault="001A2179" w:rsidP="00F32F5A">
      <w:pPr>
        <w:pStyle w:val="Heading11"/>
        <w:numPr>
          <w:ilvl w:val="0"/>
          <w:numId w:val="0"/>
        </w:numPr>
        <w:spacing w:before="40" w:after="40" w:line="264" w:lineRule="auto"/>
        <w:jc w:val="center"/>
        <w:rPr>
          <w:lang w:val="ca-ES"/>
        </w:rPr>
      </w:pPr>
      <w:r w:rsidRPr="00F52D42">
        <w:rPr>
          <w:lang w:val="ca-ES"/>
        </w:rPr>
        <w:t>A</w:t>
      </w:r>
      <w:r w:rsidR="009A2B46">
        <w:rPr>
          <w:lang w:val="ca-ES"/>
        </w:rPr>
        <w:t>NNEX</w:t>
      </w:r>
      <w:r w:rsidRPr="00F52D42">
        <w:rPr>
          <w:lang w:val="ca-ES"/>
        </w:rPr>
        <w:t xml:space="preserve"> 1:</w:t>
      </w:r>
    </w:p>
    <w:p w14:paraId="759AE09C" w14:textId="014854FA" w:rsidR="001A2179" w:rsidRPr="00A27EA6" w:rsidRDefault="003A0892" w:rsidP="00F32F5A">
      <w:pPr>
        <w:pStyle w:val="Heading11"/>
        <w:numPr>
          <w:ilvl w:val="0"/>
          <w:numId w:val="0"/>
        </w:numPr>
        <w:spacing w:before="40" w:after="40" w:line="264" w:lineRule="auto"/>
        <w:jc w:val="center"/>
        <w:rPr>
          <w:sz w:val="30"/>
          <w:szCs w:val="30"/>
          <w:lang w:val="ca-ES"/>
        </w:rPr>
      </w:pPr>
      <w:r w:rsidRPr="00A27EA6">
        <w:rPr>
          <w:sz w:val="30"/>
          <w:szCs w:val="30"/>
          <w:lang w:val="ca-ES"/>
        </w:rPr>
        <w:t>MINUTES</w:t>
      </w:r>
      <w:r w:rsidR="001A2179" w:rsidRPr="00A27EA6">
        <w:rPr>
          <w:sz w:val="30"/>
          <w:szCs w:val="30"/>
          <w:lang w:val="ca-ES"/>
        </w:rPr>
        <w:t xml:space="preserve"> </w:t>
      </w:r>
      <w:r w:rsidR="00A27EA6" w:rsidRPr="00A27EA6">
        <w:rPr>
          <w:sz w:val="30"/>
          <w:szCs w:val="30"/>
          <w:lang w:val="ca-ES"/>
        </w:rPr>
        <w:t>OF THE GENDER EQUALITY COMMITTEE SESSION</w:t>
      </w:r>
      <w:r w:rsidR="001A2179" w:rsidRPr="00A27EA6">
        <w:rPr>
          <w:sz w:val="30"/>
          <w:szCs w:val="30"/>
          <w:lang w:val="ca-ES"/>
        </w:rPr>
        <w:t xml:space="preserve"> (</w:t>
      </w:r>
      <w:r w:rsidR="009C0B72">
        <w:rPr>
          <w:sz w:val="30"/>
          <w:szCs w:val="30"/>
          <w:lang w:val="ca-ES"/>
        </w:rPr>
        <w:t>JULY</w:t>
      </w:r>
      <w:r w:rsidR="001A2179" w:rsidRPr="00A27EA6">
        <w:rPr>
          <w:sz w:val="30"/>
          <w:szCs w:val="30"/>
          <w:lang w:val="ca-ES"/>
        </w:rPr>
        <w:t xml:space="preserve"> 20</w:t>
      </w:r>
      <w:r w:rsidR="009C0B72">
        <w:rPr>
          <w:sz w:val="30"/>
          <w:szCs w:val="30"/>
          <w:lang w:val="ca-ES"/>
        </w:rPr>
        <w:t>20</w:t>
      </w:r>
      <w:r w:rsidR="001A2179" w:rsidRPr="00A27EA6">
        <w:rPr>
          <w:sz w:val="30"/>
          <w:szCs w:val="30"/>
          <w:lang w:val="ca-ES"/>
        </w:rPr>
        <w:t>)</w:t>
      </w:r>
    </w:p>
    <w:p w14:paraId="2FD8CC97" w14:textId="77777777" w:rsidR="00BE6CB3" w:rsidRDefault="00BE6CB3" w:rsidP="00BE6CB3">
      <w:pPr>
        <w:spacing w:after="120" w:line="264" w:lineRule="auto"/>
        <w:jc w:val="both"/>
      </w:pPr>
    </w:p>
    <w:p w14:paraId="0D261056" w14:textId="7AFEDCD8" w:rsidR="00185C01" w:rsidRPr="00AC6654" w:rsidRDefault="00A27EA6" w:rsidP="00D12207">
      <w:pPr>
        <w:spacing w:after="120" w:line="264" w:lineRule="auto"/>
        <w:jc w:val="both"/>
        <w:rPr>
          <w:lang w:val="en-GB"/>
        </w:rPr>
      </w:pPr>
      <w:r w:rsidRPr="00AC6654">
        <w:rPr>
          <w:lang w:val="en-GB"/>
        </w:rPr>
        <w:t xml:space="preserve">In compliance with Section 5 of IFAE’s Gender equality Plan, its Gender </w:t>
      </w:r>
      <w:r w:rsidR="00AC6654" w:rsidRPr="00AC6654">
        <w:rPr>
          <w:lang w:val="en-GB"/>
        </w:rPr>
        <w:t>E</w:t>
      </w:r>
      <w:r w:rsidRPr="00AC6654">
        <w:rPr>
          <w:lang w:val="en-GB"/>
        </w:rPr>
        <w:t>quality Commit</w:t>
      </w:r>
      <w:r w:rsidR="00AC6654">
        <w:rPr>
          <w:lang w:val="en-GB"/>
        </w:rPr>
        <w:t>t</w:t>
      </w:r>
      <w:r w:rsidRPr="00AC6654">
        <w:rPr>
          <w:lang w:val="en-GB"/>
        </w:rPr>
        <w:t>ee</w:t>
      </w:r>
      <w:r w:rsidR="00BE6CB3" w:rsidRPr="00AC6654">
        <w:rPr>
          <w:rStyle w:val="FootnoteReference"/>
          <w:lang w:val="en-GB"/>
        </w:rPr>
        <w:footnoteReference w:id="1"/>
      </w:r>
      <w:r w:rsidR="00AC6654" w:rsidRPr="00AC6654">
        <w:rPr>
          <w:lang w:val="en-GB"/>
        </w:rPr>
        <w:t xml:space="preserve"> met on </w:t>
      </w:r>
      <w:r w:rsidR="009C0B72">
        <w:rPr>
          <w:lang w:val="en-GB"/>
        </w:rPr>
        <w:t>July</w:t>
      </w:r>
      <w:r w:rsidR="00AC6654" w:rsidRPr="00AC6654">
        <w:rPr>
          <w:lang w:val="en-GB"/>
        </w:rPr>
        <w:t xml:space="preserve"> 15, 20</w:t>
      </w:r>
      <w:r w:rsidR="009C0B72">
        <w:rPr>
          <w:lang w:val="en-GB"/>
        </w:rPr>
        <w:t>20</w:t>
      </w:r>
      <w:r w:rsidR="00AC6654" w:rsidRPr="00AC6654">
        <w:rPr>
          <w:lang w:val="en-GB"/>
        </w:rPr>
        <w:t>, in order to evaluate its indicators, the degree of completion of its objectives, and to propose further measures or the eventual Update of the Plan.</w:t>
      </w:r>
    </w:p>
    <w:p w14:paraId="244CB155" w14:textId="580488E1" w:rsidR="005A2B2C" w:rsidRPr="006D4C7B" w:rsidRDefault="004C552E" w:rsidP="006D4C7B">
      <w:pPr>
        <w:pStyle w:val="Heading41"/>
        <w:numPr>
          <w:ilvl w:val="0"/>
          <w:numId w:val="0"/>
        </w:numPr>
        <w:ind w:left="862" w:hanging="862"/>
        <w:rPr>
          <w:b w:val="0"/>
          <w:sz w:val="24"/>
          <w:lang w:val="en-GB"/>
        </w:rPr>
      </w:pPr>
      <w:bookmarkStart w:id="0" w:name="_Toc362711882"/>
      <w:bookmarkStart w:id="1" w:name="_Toc362703706"/>
      <w:bookmarkStart w:id="2" w:name="_Toc362703603"/>
      <w:bookmarkEnd w:id="0"/>
      <w:bookmarkEnd w:id="1"/>
      <w:bookmarkEnd w:id="2"/>
      <w:r w:rsidRPr="004C552E">
        <w:rPr>
          <w:b w:val="0"/>
          <w:sz w:val="24"/>
          <w:lang w:val="en-GB"/>
        </w:rPr>
        <w:t>UPDATE OF THE INDICATORS</w:t>
      </w:r>
    </w:p>
    <w:p w14:paraId="5660BFEE" w14:textId="48BE8B4A" w:rsidR="00DE0C2A" w:rsidRDefault="006D4C7B" w:rsidP="00E770D7">
      <w:pPr>
        <w:pStyle w:val="Heading21"/>
      </w:pPr>
      <w:r>
        <w:t>1</w:t>
      </w:r>
      <w:r w:rsidR="005A2B2C" w:rsidRPr="004C552E">
        <w:t xml:space="preserve">. </w:t>
      </w:r>
      <w:r w:rsidR="004C552E" w:rsidRPr="004C552E">
        <w:t xml:space="preserve">Gender Distribution of the </w:t>
      </w:r>
      <w:r w:rsidR="004C552E">
        <w:t>p</w:t>
      </w:r>
      <w:r w:rsidR="004C552E" w:rsidRPr="004C552E">
        <w:t xml:space="preserve">ersonnel hired by </w:t>
      </w:r>
      <w:r w:rsidR="00BE6CB3" w:rsidRPr="004C552E">
        <w:t>IFAE</w:t>
      </w:r>
      <w:r w:rsidR="00BE6CB3" w:rsidRPr="004C552E">
        <w:rPr>
          <w:vertAlign w:val="superscript"/>
        </w:rPr>
        <w:footnoteReference w:id="2"/>
      </w: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3200"/>
        <w:gridCol w:w="800"/>
        <w:gridCol w:w="1040"/>
        <w:gridCol w:w="876"/>
        <w:gridCol w:w="1040"/>
        <w:gridCol w:w="800"/>
        <w:gridCol w:w="1040"/>
      </w:tblGrid>
      <w:tr w:rsidR="00875872" w:rsidRPr="00875872" w14:paraId="29571B22" w14:textId="77777777" w:rsidTr="002B712C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44E" w14:textId="77777777" w:rsidR="00875872" w:rsidRPr="00E32301" w:rsidRDefault="00875872" w:rsidP="008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3EE4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98067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C583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011D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9D2A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0FC0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875872" w:rsidRPr="00875872" w14:paraId="4087613D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6B1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: staff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8B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A1BD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E6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F84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18.8%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AB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ECE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81.3%</w:t>
            </w:r>
          </w:p>
        </w:tc>
      </w:tr>
      <w:tr w:rsidR="00875872" w:rsidRPr="00875872" w14:paraId="45BE2A7A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3CA6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postdocs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DD4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F97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70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FBD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29.2%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40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2E9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70.8%</w:t>
            </w:r>
          </w:p>
        </w:tc>
      </w:tr>
      <w:tr w:rsidR="00875872" w:rsidRPr="00875872" w14:paraId="5986D2E4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912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PhD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students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DB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E4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DA6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08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36.7%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CC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C098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63.3%</w:t>
            </w:r>
          </w:p>
        </w:tc>
      </w:tr>
      <w:tr w:rsidR="00875872" w:rsidRPr="00875872" w14:paraId="4A2D5A33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53EA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Technical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support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including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IT)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FEBD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47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B3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902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16.7%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12C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41B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83.3%</w:t>
            </w:r>
          </w:p>
        </w:tc>
      </w:tr>
      <w:tr w:rsidR="00875872" w:rsidRPr="00875872" w14:paraId="1A2338F9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F21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Management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E5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924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56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592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4099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BFFD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875872" w:rsidRPr="00875872" w14:paraId="0C12688C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55B6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Administration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E1C3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D99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BE7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B23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71.4%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E40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3E5C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28.6%</w:t>
            </w:r>
          </w:p>
        </w:tc>
      </w:tr>
      <w:tr w:rsidR="00875872" w:rsidRPr="00875872" w14:paraId="5AA9C962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C41" w14:textId="4052FB5B" w:rsidR="00875872" w:rsidRPr="00875872" w:rsidRDefault="00875872" w:rsidP="00875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IFAE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8B3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A1C3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B4D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B0F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28.4%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03C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2C2D8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71.6%</w:t>
            </w:r>
          </w:p>
        </w:tc>
      </w:tr>
    </w:tbl>
    <w:p w14:paraId="50F28381" w14:textId="77777777" w:rsidR="00E15EC0" w:rsidRPr="00E15EC0" w:rsidRDefault="00E15EC0" w:rsidP="00E15EC0">
      <w:pPr>
        <w:rPr>
          <w:lang w:val="en-GB"/>
        </w:rPr>
      </w:pPr>
    </w:p>
    <w:p w14:paraId="61A10351" w14:textId="4A81B6C3" w:rsidR="00F32F5A" w:rsidRDefault="009E713E" w:rsidP="00E5289D">
      <w:pPr>
        <w:pStyle w:val="Heading21"/>
      </w:pPr>
      <w:r w:rsidRPr="00DE0C2A">
        <w:t xml:space="preserve">2. </w:t>
      </w:r>
      <w:r w:rsidR="00DE0C2A" w:rsidRPr="00DE0C2A">
        <w:t>Share of indefinite c</w:t>
      </w:r>
      <w:r w:rsidR="00141CAE" w:rsidRPr="00DE0C2A">
        <w:t>ontracts</w:t>
      </w:r>
      <w:r w:rsidR="00141CAE" w:rsidRPr="00DE0C2A">
        <w:rPr>
          <w:vertAlign w:val="superscript"/>
        </w:rPr>
        <w:footnoteReference w:id="3"/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3200"/>
        <w:gridCol w:w="800"/>
        <w:gridCol w:w="1040"/>
        <w:gridCol w:w="876"/>
        <w:gridCol w:w="1040"/>
        <w:gridCol w:w="800"/>
        <w:gridCol w:w="1040"/>
      </w:tblGrid>
      <w:tr w:rsidR="00875872" w:rsidRPr="00875872" w14:paraId="03A06376" w14:textId="77777777" w:rsidTr="002B712C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C7FB" w14:textId="77777777" w:rsidR="00875872" w:rsidRPr="00875872" w:rsidRDefault="00875872" w:rsidP="008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9A71F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D4048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D2D7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3CEE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1A20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2925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875872" w:rsidRPr="00875872" w14:paraId="5608AB8E" w14:textId="77777777" w:rsidTr="002B712C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5260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: staff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2A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324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77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A3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D5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B333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875872" w:rsidRPr="00875872" w14:paraId="222A7021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9FA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postdocs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B2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A82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AE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384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C50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0D78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875872" w:rsidRPr="00875872" w14:paraId="37EECA67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A1C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PhD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students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FE2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278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4B7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EB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C6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9A72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875872" w:rsidRPr="00875872" w14:paraId="51407DF7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3BA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Technical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support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3D43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C0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C43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B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E87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B13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32.0%</w:t>
            </w:r>
          </w:p>
        </w:tc>
      </w:tr>
      <w:tr w:rsidR="00875872" w:rsidRPr="00875872" w14:paraId="7A34B562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4C6A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Management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6A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2F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1C4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8AD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4D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188D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875872" w:rsidRPr="00875872" w14:paraId="5F29755F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5A79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Administration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C71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D112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42.9%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6D1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E51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40.0%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9A0F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1013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</w:tr>
      <w:tr w:rsidR="00875872" w:rsidRPr="00875872" w14:paraId="2B1DCC0B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B326" w14:textId="77777777" w:rsidR="00875872" w:rsidRPr="00875872" w:rsidRDefault="00875872" w:rsidP="00875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IFAE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964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9FA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30.3%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B95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3313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29.0%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1C4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D2915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30.8%</w:t>
            </w:r>
          </w:p>
        </w:tc>
      </w:tr>
    </w:tbl>
    <w:p w14:paraId="6D4D3579" w14:textId="3EC415F8" w:rsidR="00875872" w:rsidRDefault="00875872" w:rsidP="00875872">
      <w:pPr>
        <w:rPr>
          <w:lang w:val="en-GB"/>
        </w:rPr>
      </w:pPr>
    </w:p>
    <w:p w14:paraId="038BA144" w14:textId="77777777" w:rsidR="00875872" w:rsidRPr="00875872" w:rsidRDefault="00875872" w:rsidP="00875872">
      <w:pPr>
        <w:rPr>
          <w:lang w:val="en-GB"/>
        </w:rPr>
      </w:pPr>
    </w:p>
    <w:p w14:paraId="17D6ED45" w14:textId="31298B6D" w:rsidR="00BE6CB3" w:rsidRDefault="00F32F5A" w:rsidP="00E5289D">
      <w:pPr>
        <w:pStyle w:val="Heading21"/>
      </w:pPr>
      <w:r w:rsidRPr="00DE0C2A">
        <w:lastRenderedPageBreak/>
        <w:t xml:space="preserve">3. </w:t>
      </w:r>
      <w:r w:rsidR="00DE0C2A" w:rsidRPr="00DE0C2A">
        <w:t>Share of fix term c</w:t>
      </w:r>
      <w:r w:rsidR="00483B01" w:rsidRPr="00DE0C2A">
        <w:t>ontracts</w:t>
      </w:r>
      <w:r w:rsidR="00483B01" w:rsidRPr="00DE0C2A">
        <w:rPr>
          <w:rStyle w:val="FootnoteReference"/>
        </w:rPr>
        <w:footnoteReference w:id="4"/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3200"/>
        <w:gridCol w:w="800"/>
        <w:gridCol w:w="1040"/>
        <w:gridCol w:w="876"/>
        <w:gridCol w:w="1040"/>
        <w:gridCol w:w="800"/>
        <w:gridCol w:w="1040"/>
      </w:tblGrid>
      <w:tr w:rsidR="00875872" w:rsidRPr="00875872" w14:paraId="56F28BC2" w14:textId="77777777" w:rsidTr="002B712C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70C" w14:textId="77777777" w:rsidR="00875872" w:rsidRPr="00E32301" w:rsidRDefault="00875872" w:rsidP="008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2368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23C5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3859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D8ADF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54D01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D77C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875872" w:rsidRPr="00875872" w14:paraId="0EE87523" w14:textId="77777777" w:rsidTr="002B712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7E8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: staff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E5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A1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E3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8D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34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6D1A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875872" w:rsidRPr="00875872" w14:paraId="04BE7A81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868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postdocs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319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B17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65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EB9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F2D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01C9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875872" w:rsidRPr="00875872" w14:paraId="39C78621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B5B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PhD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students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72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C0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4EC0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EE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4D4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882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875872" w:rsidRPr="00875872" w14:paraId="5E891E06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75C8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Technical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support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2A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23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51C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2D9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5152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A59B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68.0%</w:t>
            </w:r>
          </w:p>
        </w:tc>
      </w:tr>
      <w:tr w:rsidR="00875872" w:rsidRPr="00875872" w14:paraId="464EC320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99D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Management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948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728C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B6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D7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F2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D5625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875872" w:rsidRPr="00875872" w14:paraId="5BCC1ED2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07BDD" w14:textId="77777777" w:rsidR="00875872" w:rsidRPr="00875872" w:rsidRDefault="00875872" w:rsidP="0087587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Administration</w:t>
            </w:r>
            <w:proofErr w:type="spellEnd"/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CB3E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D22F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57.1%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204D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11E6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60.0%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7BFE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BE81" w14:textId="77777777" w:rsidR="00875872" w:rsidRPr="00875872" w:rsidRDefault="00875872" w:rsidP="0087587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</w:tr>
      <w:tr w:rsidR="00875872" w:rsidRPr="00875872" w14:paraId="271A8098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4D3" w14:textId="77777777" w:rsidR="00875872" w:rsidRPr="00875872" w:rsidRDefault="00875872" w:rsidP="00875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IFAE (</w:t>
            </w:r>
            <w:proofErr w:type="spellStart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aggregate</w:t>
            </w:r>
            <w:proofErr w:type="spellEnd"/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0A21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67E8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69.7%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9E7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9EF7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71.0%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0DE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8E5D" w14:textId="77777777" w:rsidR="00875872" w:rsidRPr="00875872" w:rsidRDefault="00875872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8758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69.2%</w:t>
            </w:r>
          </w:p>
        </w:tc>
      </w:tr>
      <w:tr w:rsidR="0064762E" w:rsidRPr="00875872" w14:paraId="2E06249B" w14:textId="77777777" w:rsidTr="00875872">
        <w:trPr>
          <w:trHeight w:val="28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0E303" w14:textId="77777777" w:rsidR="0064762E" w:rsidRDefault="0064762E" w:rsidP="00875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8F79FA0" w14:textId="3CB71A83" w:rsidR="0064762E" w:rsidRPr="00875872" w:rsidRDefault="0064762E" w:rsidP="00875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38E59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C247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DE62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1F1B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2FEB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E0D6F" w14:textId="77777777" w:rsidR="0064762E" w:rsidRPr="00875872" w:rsidRDefault="0064762E" w:rsidP="00875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1D6AEBD" w14:textId="0C0BF3AE" w:rsidR="00875872" w:rsidRDefault="00875872" w:rsidP="00875872">
      <w:pPr>
        <w:rPr>
          <w:lang w:val="en-GB"/>
        </w:rPr>
      </w:pPr>
    </w:p>
    <w:p w14:paraId="4D9DD3CA" w14:textId="14136535" w:rsidR="0064762E" w:rsidRDefault="0064762E" w:rsidP="0064762E">
      <w:pPr>
        <w:pStyle w:val="Heading21"/>
      </w:pPr>
      <w:r>
        <w:t>4</w:t>
      </w:r>
      <w:r w:rsidRPr="00B462C0">
        <w:t>. Personnel working at IFAE (regardless of the hiring institution)</w:t>
      </w:r>
      <w:r w:rsidRPr="00B462C0">
        <w:rPr>
          <w:rStyle w:val="FootnoteReference"/>
        </w:rPr>
        <w:footnoteReference w:id="5"/>
      </w:r>
      <w:r w:rsidRPr="00B462C0">
        <w:t xml:space="preserve"> </w:t>
      </w:r>
    </w:p>
    <w:tbl>
      <w:tblPr>
        <w:tblW w:w="8720" w:type="dxa"/>
        <w:tblInd w:w="108" w:type="dxa"/>
        <w:tblLook w:val="04A0" w:firstRow="1" w:lastRow="0" w:firstColumn="1" w:lastColumn="0" w:noHBand="0" w:noVBand="1"/>
      </w:tblPr>
      <w:tblGrid>
        <w:gridCol w:w="3200"/>
        <w:gridCol w:w="800"/>
        <w:gridCol w:w="1040"/>
        <w:gridCol w:w="876"/>
        <w:gridCol w:w="1040"/>
        <w:gridCol w:w="800"/>
        <w:gridCol w:w="1040"/>
      </w:tblGrid>
      <w:tr w:rsidR="0064762E" w:rsidRPr="000D46AF" w14:paraId="522FCDDC" w14:textId="77777777" w:rsidTr="0064762E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DD3" w14:textId="77777777" w:rsidR="0064762E" w:rsidRPr="000D46AF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1A4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9030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5296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1377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1A74D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C2478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64762E" w:rsidRPr="000D46AF" w14:paraId="1E2EE5A2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4897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: staff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044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827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387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732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12.1%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CB3E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00CE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87.9%</w:t>
            </w:r>
          </w:p>
        </w:tc>
      </w:tr>
      <w:tr w:rsidR="0064762E" w:rsidRPr="000D46AF" w14:paraId="612E24D8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4901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postdocs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3FA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287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489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066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28.0%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0B9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4C09D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72.0%</w:t>
            </w:r>
          </w:p>
        </w:tc>
      </w:tr>
      <w:tr w:rsidR="0064762E" w:rsidRPr="000D46AF" w14:paraId="1786DBF5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C31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Research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: PhD </w:t>
            </w: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students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8F4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ABA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C34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9E4A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36.7%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7033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91CE8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63.3%</w:t>
            </w:r>
          </w:p>
        </w:tc>
      </w:tr>
      <w:tr w:rsidR="0064762E" w:rsidRPr="000D46AF" w14:paraId="59D4C49E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A3B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Technical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support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including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IT)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410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05B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507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2CE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15.2%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D03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B6AD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84.8%</w:t>
            </w:r>
          </w:p>
        </w:tc>
      </w:tr>
      <w:tr w:rsidR="0064762E" w:rsidRPr="000D46AF" w14:paraId="0052994C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BCF6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Management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1DC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C41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074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FFC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B7A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E492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64762E" w:rsidRPr="000D46AF" w14:paraId="52FFC5B5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FAD95" w14:textId="77777777" w:rsidR="0064762E" w:rsidRPr="000D46AF" w:rsidRDefault="0064762E" w:rsidP="0064762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Administration</w:t>
            </w:r>
            <w:proofErr w:type="spellEnd"/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1714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93C59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F342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CE50C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70.0%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BCE6F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B4056" w14:textId="77777777" w:rsidR="0064762E" w:rsidRPr="000D46AF" w:rsidRDefault="0064762E" w:rsidP="0064762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30.0%</w:t>
            </w:r>
          </w:p>
        </w:tc>
      </w:tr>
      <w:tr w:rsidR="0064762E" w:rsidRPr="000D46AF" w14:paraId="10254679" w14:textId="77777777" w:rsidTr="0064762E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FE0" w14:textId="77777777" w:rsidR="0064762E" w:rsidRPr="000D46AF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Total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IFAE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629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F2C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AA27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998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25.6%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3428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BB540" w14:textId="77777777" w:rsidR="0064762E" w:rsidRPr="000D46AF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74.4%</w:t>
            </w:r>
          </w:p>
        </w:tc>
      </w:tr>
    </w:tbl>
    <w:p w14:paraId="4190085E" w14:textId="77777777" w:rsidR="0064762E" w:rsidRPr="00875872" w:rsidRDefault="0064762E" w:rsidP="00875872">
      <w:pPr>
        <w:rPr>
          <w:lang w:val="en-GB"/>
        </w:rPr>
      </w:pPr>
    </w:p>
    <w:p w14:paraId="485E699F" w14:textId="7197FAEE" w:rsidR="008E0E3C" w:rsidRDefault="0064762E" w:rsidP="00E770D7">
      <w:pPr>
        <w:pStyle w:val="Heading21"/>
      </w:pPr>
      <w:r>
        <w:t>5</w:t>
      </w:r>
      <w:r w:rsidR="009E713E" w:rsidRPr="00877BBA">
        <w:t xml:space="preserve">. </w:t>
      </w:r>
      <w:r w:rsidR="00D55C34" w:rsidRPr="00877BBA">
        <w:t>Respons</w:t>
      </w:r>
      <w:r w:rsidR="00DE0C2A" w:rsidRPr="00877BBA">
        <w:t>ibility in research projects management</w:t>
      </w:r>
      <w:r w:rsidR="00D55C34" w:rsidRPr="00877BBA">
        <w:rPr>
          <w:rStyle w:val="FootnoteReference"/>
        </w:rPr>
        <w:footnoteReference w:id="6"/>
      </w:r>
    </w:p>
    <w:tbl>
      <w:tblPr>
        <w:tblW w:w="8796" w:type="dxa"/>
        <w:tblInd w:w="108" w:type="dxa"/>
        <w:tblLook w:val="04A0" w:firstRow="1" w:lastRow="0" w:firstColumn="1" w:lastColumn="0" w:noHBand="0" w:noVBand="1"/>
      </w:tblPr>
      <w:tblGrid>
        <w:gridCol w:w="3200"/>
        <w:gridCol w:w="800"/>
        <w:gridCol w:w="1040"/>
        <w:gridCol w:w="876"/>
        <w:gridCol w:w="1040"/>
        <w:gridCol w:w="800"/>
        <w:gridCol w:w="1040"/>
      </w:tblGrid>
      <w:tr w:rsidR="00E32301" w:rsidRPr="000D46AF" w14:paraId="4EF1F091" w14:textId="77777777" w:rsidTr="00E32301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A42" w14:textId="77777777" w:rsidR="00E32301" w:rsidRPr="000D46AF" w:rsidRDefault="00E32301" w:rsidP="0091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1E52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E92F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8F28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DEA0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68BF2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N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3AB5E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E32301" w:rsidRPr="000D46AF" w14:paraId="27488D14" w14:textId="77777777" w:rsidTr="00E32301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D5F" w14:textId="7ADB954E" w:rsidR="00E32301" w:rsidRPr="000D46AF" w:rsidRDefault="00E32301" w:rsidP="009122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project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leaders</w:t>
            </w:r>
            <w:proofErr w:type="spellEnd"/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769" w14:textId="3718DB0D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464C" w14:textId="77777777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4E4" w14:textId="5B4F10B4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C28" w14:textId="38053735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6.3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F64" w14:textId="7FD92111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9E664" w14:textId="3A9D1872" w:rsidR="00E32301" w:rsidRPr="000D46AF" w:rsidRDefault="00E32301" w:rsidP="0091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93.7</w:t>
            </w:r>
            <w:r w:rsidRPr="000D4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</w:p>
        </w:tc>
      </w:tr>
    </w:tbl>
    <w:p w14:paraId="70C7478C" w14:textId="77777777" w:rsidR="00E32301" w:rsidRDefault="00E32301" w:rsidP="00E770D7">
      <w:pPr>
        <w:pStyle w:val="Heading21"/>
      </w:pPr>
    </w:p>
    <w:p w14:paraId="014B29C9" w14:textId="151F6736" w:rsidR="00B70FBD" w:rsidRDefault="0064762E" w:rsidP="00E770D7">
      <w:pPr>
        <w:pStyle w:val="Heading21"/>
      </w:pPr>
      <w:r>
        <w:t>6</w:t>
      </w:r>
      <w:r w:rsidR="009E713E" w:rsidRPr="00877BBA">
        <w:t xml:space="preserve">. </w:t>
      </w:r>
      <w:r w:rsidR="00877BBA" w:rsidRPr="00877BBA">
        <w:t>Government and advisory bodies</w:t>
      </w:r>
      <w:r w:rsidR="00B70FBD" w:rsidRPr="00877BBA">
        <w:rPr>
          <w:rStyle w:val="FootnoteReference"/>
        </w:rPr>
        <w:footnoteReference w:id="7"/>
      </w:r>
    </w:p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2720"/>
        <w:gridCol w:w="800"/>
        <w:gridCol w:w="862"/>
        <w:gridCol w:w="920"/>
        <w:gridCol w:w="800"/>
        <w:gridCol w:w="920"/>
      </w:tblGrid>
      <w:tr w:rsidR="002B712C" w:rsidRPr="002B712C" w14:paraId="369DFB56" w14:textId="77777777" w:rsidTr="002B712C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90C8" w14:textId="77777777" w:rsidR="002B712C" w:rsidRPr="002B712C" w:rsidRDefault="002B712C" w:rsidP="002B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1E9A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BA88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E346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7D59D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B210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2B712C" w:rsidRPr="002B712C" w14:paraId="50070B1C" w14:textId="77777777" w:rsidTr="002B712C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DEE4" w14:textId="77777777" w:rsidR="002B712C" w:rsidRPr="002B712C" w:rsidRDefault="002B712C" w:rsidP="002B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Consell</w:t>
            </w:r>
            <w:proofErr w:type="spellEnd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Govern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CA11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9D9B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1C54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33.3%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6DE6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F0EB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66.7%</w:t>
            </w:r>
          </w:p>
        </w:tc>
      </w:tr>
      <w:tr w:rsidR="002B712C" w:rsidRPr="002B712C" w14:paraId="367289DB" w14:textId="77777777" w:rsidTr="002B712C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3AA" w14:textId="77777777" w:rsidR="002B712C" w:rsidRPr="002B712C" w:rsidRDefault="002B712C" w:rsidP="002B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Scientific</w:t>
            </w:r>
            <w:proofErr w:type="spellEnd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Committee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F937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F43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D5F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498D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701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</w:tr>
      <w:tr w:rsidR="002B712C" w:rsidRPr="002B712C" w14:paraId="20C2366E" w14:textId="77777777" w:rsidTr="002B712C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7980" w14:textId="77777777" w:rsidR="002B712C" w:rsidRPr="002B712C" w:rsidRDefault="002B712C" w:rsidP="002B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Advisory</w:t>
            </w:r>
            <w:proofErr w:type="spellEnd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Team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B0D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C9D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32C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B67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1840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95.0%</w:t>
            </w:r>
          </w:p>
        </w:tc>
      </w:tr>
      <w:tr w:rsidR="002B712C" w:rsidRPr="002B712C" w14:paraId="5FF1E19A" w14:textId="77777777" w:rsidTr="002B712C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202" w14:textId="77777777" w:rsidR="002B712C" w:rsidRPr="002B712C" w:rsidRDefault="002B712C" w:rsidP="002B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Management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Team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B79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C524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B27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68A4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56FC" w14:textId="77777777" w:rsidR="002B712C" w:rsidRPr="002B712C" w:rsidRDefault="002B712C" w:rsidP="002B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</w:tbl>
    <w:p w14:paraId="698EAA52" w14:textId="77777777" w:rsidR="002B712C" w:rsidRPr="002B712C" w:rsidRDefault="002B712C" w:rsidP="002B712C">
      <w:pPr>
        <w:rPr>
          <w:lang w:val="en-GB"/>
        </w:rPr>
      </w:pPr>
    </w:p>
    <w:p w14:paraId="5AE83612" w14:textId="12993C93" w:rsidR="005B31BB" w:rsidRDefault="0064762E" w:rsidP="00E770D7">
      <w:pPr>
        <w:pStyle w:val="Heading21"/>
      </w:pPr>
      <w:r>
        <w:t>7</w:t>
      </w:r>
      <w:r w:rsidR="009E713E" w:rsidRPr="009E713E">
        <w:t xml:space="preserve">. </w:t>
      </w:r>
      <w:r w:rsidR="008E0E3C">
        <w:t>Committees and Working Groups</w:t>
      </w:r>
      <w:r w:rsidR="00FF25DB" w:rsidRPr="009E713E">
        <w:rPr>
          <w:rStyle w:val="FootnoteReference"/>
          <w:lang w:val="ca-ES"/>
        </w:rPr>
        <w:footnoteReference w:id="8"/>
      </w:r>
    </w:p>
    <w:tbl>
      <w:tblPr>
        <w:tblW w:w="6960" w:type="dxa"/>
        <w:tblInd w:w="108" w:type="dxa"/>
        <w:tblLook w:val="04A0" w:firstRow="1" w:lastRow="0" w:firstColumn="1" w:lastColumn="0" w:noHBand="0" w:noVBand="1"/>
      </w:tblPr>
      <w:tblGrid>
        <w:gridCol w:w="2720"/>
        <w:gridCol w:w="800"/>
        <w:gridCol w:w="862"/>
        <w:gridCol w:w="920"/>
        <w:gridCol w:w="800"/>
        <w:gridCol w:w="920"/>
      </w:tblGrid>
      <w:tr w:rsidR="000D46AF" w:rsidRPr="002B712C" w14:paraId="46A0C1B5" w14:textId="77777777" w:rsidTr="0064762E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B86" w14:textId="77777777" w:rsidR="000D46AF" w:rsidRPr="002B712C" w:rsidRDefault="000D46AF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654DD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IFAE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6C51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2495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25B12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N</w:t>
            </w: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8D97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ES"/>
              </w:rPr>
              <w:t>%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  <w:lang w:val="es-ES"/>
              </w:rPr>
              <w:t>men</w:t>
            </w:r>
            <w:proofErr w:type="spellEnd"/>
          </w:p>
        </w:tc>
      </w:tr>
      <w:tr w:rsidR="000D46AF" w:rsidRPr="002B712C" w14:paraId="6C0629A0" w14:textId="77777777" w:rsidTr="0064762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D27" w14:textId="77777777" w:rsidR="000D46AF" w:rsidRPr="002B712C" w:rsidRDefault="000D46AF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730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63FF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F305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9.1%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E84B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9183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90.9%</w:t>
            </w:r>
          </w:p>
        </w:tc>
      </w:tr>
      <w:tr w:rsidR="000D46AF" w:rsidRPr="002B712C" w14:paraId="21F92EE8" w14:textId="77777777" w:rsidTr="0064762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390" w14:textId="77777777" w:rsidR="000D46AF" w:rsidRPr="002B712C" w:rsidRDefault="000D46AF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lastRenderedPageBreak/>
              <w:t xml:space="preserve">Safety &amp;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Health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FA4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8BB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DC31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9D3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EC12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50.0%</w:t>
            </w:r>
          </w:p>
        </w:tc>
      </w:tr>
      <w:tr w:rsidR="000D46AF" w:rsidRPr="002B712C" w14:paraId="23548A28" w14:textId="77777777" w:rsidTr="0064762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2EE1" w14:textId="77777777" w:rsidR="000D46AF" w:rsidRPr="002B712C" w:rsidRDefault="000D46AF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Diversity</w:t>
            </w:r>
            <w:proofErr w:type="spellEnd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Programme</w:t>
            </w:r>
            <w:proofErr w:type="spellEnd"/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WG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5B35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E8A2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361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60.0%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A060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F4B" w14:textId="77777777" w:rsidR="000D46AF" w:rsidRPr="002B712C" w:rsidRDefault="000D46AF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2B712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40.0%</w:t>
            </w:r>
          </w:p>
        </w:tc>
      </w:tr>
    </w:tbl>
    <w:p w14:paraId="6A55FCE2" w14:textId="77777777" w:rsidR="000D46AF" w:rsidRPr="000D46AF" w:rsidRDefault="000D46AF" w:rsidP="000D46AF">
      <w:pPr>
        <w:rPr>
          <w:lang w:val="en-GB"/>
        </w:rPr>
      </w:pPr>
    </w:p>
    <w:p w14:paraId="6ED485B9" w14:textId="1F34E9B4" w:rsidR="00CE2B86" w:rsidRDefault="0064762E" w:rsidP="00E770D7">
      <w:pPr>
        <w:pStyle w:val="Heading21"/>
        <w:rPr>
          <w:i/>
          <w:lang w:val="ca-ES"/>
        </w:rPr>
      </w:pPr>
      <w:r>
        <w:t>8</w:t>
      </w:r>
      <w:r w:rsidR="009E713E" w:rsidRPr="0098240C">
        <w:t xml:space="preserve">. </w:t>
      </w:r>
      <w:r>
        <w:t xml:space="preserve">Students of the </w:t>
      </w:r>
      <w:r w:rsidRPr="00980F3D">
        <w:rPr>
          <w:i/>
        </w:rPr>
        <w:t>H</w:t>
      </w:r>
      <w:r w:rsidRPr="001348C5">
        <w:rPr>
          <w:i/>
        </w:rPr>
        <w:t>igh Energy Physics, Astrophysics and Cosmology</w:t>
      </w:r>
      <w:r>
        <w:rPr>
          <w:i/>
        </w:rPr>
        <w:t xml:space="preserve"> </w:t>
      </w:r>
      <w:proofErr w:type="spellStart"/>
      <w:r>
        <w:t>postgrade</w:t>
      </w:r>
      <w:proofErr w:type="spellEnd"/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1160"/>
        <w:gridCol w:w="1040"/>
        <w:gridCol w:w="1040"/>
        <w:gridCol w:w="1040"/>
        <w:gridCol w:w="1040"/>
      </w:tblGrid>
      <w:tr w:rsidR="0064762E" w:rsidRPr="007C0324" w14:paraId="153EC25F" w14:textId="77777777" w:rsidTr="0064762E">
        <w:trPr>
          <w:trHeight w:val="360"/>
          <w:jc w:val="center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E08" w14:textId="77777777" w:rsidR="0064762E" w:rsidRPr="007C0324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N</w:t>
            </w:r>
            <w:r w:rsidRPr="007C0324">
              <w:rPr>
                <w:rFonts w:ascii="Calibri" w:eastAsia="Times New Roman" w:hAnsi="Calibri" w:cs="Calibri"/>
                <w:color w:val="000000"/>
                <w:vertAlign w:val="subscript"/>
                <w:lang w:val="es-ES"/>
              </w:rPr>
              <w:t>students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8F4E2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N</w:t>
            </w:r>
            <w:r w:rsidRPr="007C0324">
              <w:rPr>
                <w:rFonts w:ascii="Calibri" w:eastAsia="Times New Roman" w:hAnsi="Calibri" w:cs="Calibri"/>
                <w:color w:val="000000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62FD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%</w:t>
            </w:r>
            <w:proofErr w:type="spellStart"/>
            <w:r w:rsidRPr="007C0324">
              <w:rPr>
                <w:rFonts w:ascii="Calibri" w:eastAsia="Times New Roman" w:hAnsi="Calibri" w:cs="Calibri"/>
                <w:color w:val="000000"/>
                <w:vertAlign w:val="subscript"/>
                <w:lang w:val="es-ES"/>
              </w:rPr>
              <w:t>women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D3211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N</w:t>
            </w:r>
            <w:r w:rsidRPr="007C0324">
              <w:rPr>
                <w:rFonts w:ascii="Calibri" w:eastAsia="Times New Roman" w:hAnsi="Calibri" w:cs="Calibri"/>
                <w:color w:val="000000"/>
                <w:vertAlign w:val="subscript"/>
                <w:lang w:val="es-ES"/>
              </w:rPr>
              <w:t>men</w:t>
            </w:r>
            <w:proofErr w:type="spellEnd"/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BD1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%</w:t>
            </w:r>
            <w:proofErr w:type="spellStart"/>
            <w:r w:rsidRPr="007C0324">
              <w:rPr>
                <w:rFonts w:ascii="Calibri" w:eastAsia="Times New Roman" w:hAnsi="Calibri" w:cs="Calibri"/>
                <w:color w:val="000000"/>
                <w:vertAlign w:val="subscript"/>
                <w:lang w:val="es-ES"/>
              </w:rPr>
              <w:t>men</w:t>
            </w:r>
            <w:proofErr w:type="spellEnd"/>
          </w:p>
        </w:tc>
      </w:tr>
      <w:tr w:rsidR="0064762E" w:rsidRPr="007C0324" w14:paraId="11135236" w14:textId="77777777" w:rsidTr="0064762E">
        <w:trPr>
          <w:trHeight w:val="320"/>
          <w:jc w:val="center"/>
        </w:trPr>
        <w:tc>
          <w:tcPr>
            <w:tcW w:w="1160" w:type="dxa"/>
            <w:tcBorders>
              <w:top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FBA053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42614D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</w:tcBorders>
            <w:shd w:val="clear" w:color="000000" w:fill="auto"/>
            <w:noWrap/>
            <w:vAlign w:val="bottom"/>
            <w:hideMark/>
          </w:tcPr>
          <w:p w14:paraId="719B95F2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22.2%</w:t>
            </w:r>
          </w:p>
        </w:tc>
        <w:tc>
          <w:tcPr>
            <w:tcW w:w="1040" w:type="dxa"/>
            <w:tcBorders>
              <w:top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8D44FFC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</w:tcBorders>
            <w:shd w:val="clear" w:color="000000" w:fill="auto"/>
            <w:noWrap/>
            <w:vAlign w:val="bottom"/>
            <w:hideMark/>
          </w:tcPr>
          <w:p w14:paraId="040D661E" w14:textId="77777777" w:rsidR="0064762E" w:rsidRPr="007C0324" w:rsidRDefault="0064762E" w:rsidP="007C0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7C0324">
              <w:rPr>
                <w:rFonts w:ascii="Calibri" w:eastAsia="Times New Roman" w:hAnsi="Calibri" w:cs="Calibri"/>
                <w:color w:val="000000"/>
                <w:lang w:val="es-ES"/>
              </w:rPr>
              <w:t>77.8%</w:t>
            </w:r>
          </w:p>
        </w:tc>
      </w:tr>
    </w:tbl>
    <w:p w14:paraId="746BBCC6" w14:textId="77777777" w:rsidR="007C0324" w:rsidRDefault="007C0324" w:rsidP="00107578"/>
    <w:p w14:paraId="2D03041C" w14:textId="4724DB7D" w:rsidR="007C0324" w:rsidRDefault="0064762E" w:rsidP="007C0324">
      <w:pPr>
        <w:pStyle w:val="Heading21"/>
        <w:rPr>
          <w:i/>
          <w:lang w:val="ca-ES"/>
        </w:rPr>
      </w:pPr>
      <w:r>
        <w:t>9</w:t>
      </w:r>
      <w:r w:rsidR="007C0324" w:rsidRPr="0098240C">
        <w:t xml:space="preserve">. Outreach: </w:t>
      </w:r>
      <w:r w:rsidR="007C0324" w:rsidRPr="0098240C">
        <w:rPr>
          <w:i/>
          <w:lang w:val="ca-ES"/>
        </w:rPr>
        <w:t>Bojos per la física</w:t>
      </w:r>
    </w:p>
    <w:tbl>
      <w:tblPr>
        <w:tblW w:w="7000" w:type="dxa"/>
        <w:tblInd w:w="108" w:type="dxa"/>
        <w:tblLook w:val="04A0" w:firstRow="1" w:lastRow="0" w:firstColumn="1" w:lastColumn="0" w:noHBand="0" w:noVBand="1"/>
      </w:tblPr>
      <w:tblGrid>
        <w:gridCol w:w="3080"/>
        <w:gridCol w:w="800"/>
        <w:gridCol w:w="266"/>
        <w:gridCol w:w="511"/>
        <w:gridCol w:w="849"/>
        <w:gridCol w:w="222"/>
        <w:gridCol w:w="528"/>
        <w:gridCol w:w="832"/>
      </w:tblGrid>
      <w:tr w:rsidR="007C0324" w:rsidRPr="00107578" w14:paraId="227102AB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6E2D" w14:textId="77777777" w:rsidR="007C0324" w:rsidRPr="00107578" w:rsidRDefault="007C0324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AF0C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Total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105D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91AF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Dones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5C582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EB63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Homes</w:t>
            </w:r>
            <w:proofErr w:type="spellEnd"/>
          </w:p>
        </w:tc>
      </w:tr>
      <w:tr w:rsidR="007C0324" w:rsidRPr="00107578" w14:paraId="0A5F7A53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1B75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4055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</w:t>
            </w: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val="es-ES"/>
              </w:rPr>
              <w:t>IFAE</w:t>
            </w: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2B4C7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FD1A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39ADF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[%]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94157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88C2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78BC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[%]</w:t>
            </w:r>
          </w:p>
        </w:tc>
      </w:tr>
      <w:tr w:rsidR="007C0324" w:rsidRPr="00107578" w14:paraId="410C8885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7435" w14:textId="77777777" w:rsidR="007C0324" w:rsidRPr="00107578" w:rsidRDefault="007C0324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Sol·licituds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D59E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E95D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5BE4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2220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37.5%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1FD6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1209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AD13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62.5%</w:t>
            </w:r>
          </w:p>
        </w:tc>
      </w:tr>
      <w:tr w:rsidR="007C0324" w:rsidRPr="00107578" w14:paraId="7BF60801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2F42" w14:textId="77777777" w:rsidR="007C0324" w:rsidRPr="00107578" w:rsidRDefault="007C0324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Estudiants</w:t>
            </w:r>
            <w:proofErr w:type="spellEnd"/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seleccionats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7C1C2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27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0ED97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107578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A9F3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F9EED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51.9%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C729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53A4C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5D9C" w14:textId="77777777" w:rsidR="007C0324" w:rsidRPr="00107578" w:rsidRDefault="007C0324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1075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48.1%</w:t>
            </w:r>
          </w:p>
        </w:tc>
      </w:tr>
    </w:tbl>
    <w:p w14:paraId="57911F5A" w14:textId="77777777" w:rsidR="000D46AF" w:rsidRPr="000D46AF" w:rsidRDefault="000D46AF" w:rsidP="000D46AF">
      <w:pPr>
        <w:rPr>
          <w:lang w:val="en-GB"/>
        </w:rPr>
      </w:pPr>
    </w:p>
    <w:p w14:paraId="3EF39121" w14:textId="0A32129B" w:rsidR="000E0C69" w:rsidRPr="00687CFC" w:rsidRDefault="0064762E" w:rsidP="000E0C69">
      <w:pPr>
        <w:pStyle w:val="Heading21"/>
      </w:pPr>
      <w:r>
        <w:t>10.</w:t>
      </w:r>
      <w:r w:rsidR="000E0C69" w:rsidRPr="00687CFC">
        <w:t xml:space="preserve"> </w:t>
      </w:r>
      <w:r w:rsidR="002D6DFA" w:rsidRPr="00687CFC">
        <w:t>Wage of the personnel hired by IFAE</w:t>
      </w:r>
    </w:p>
    <w:p w14:paraId="76804626" w14:textId="6C052080" w:rsidR="006558C0" w:rsidRDefault="00A82A0A" w:rsidP="00C82E4E">
      <w:pPr>
        <w:spacing w:after="120" w:line="264" w:lineRule="auto"/>
        <w:jc w:val="both"/>
        <w:rPr>
          <w:lang w:val="en-GB"/>
        </w:rPr>
      </w:pPr>
      <w:r w:rsidRPr="00A82A0A">
        <w:rPr>
          <w:lang w:val="en-GB"/>
        </w:rPr>
        <w:t xml:space="preserve">In order to put these figures into context, </w:t>
      </w:r>
      <w:r>
        <w:rPr>
          <w:lang w:val="en-GB"/>
        </w:rPr>
        <w:t>w</w:t>
      </w:r>
      <w:r w:rsidRPr="00A82A0A">
        <w:rPr>
          <w:lang w:val="en-GB"/>
        </w:rPr>
        <w:t xml:space="preserve">e must consider that according to the </w:t>
      </w:r>
      <w:r>
        <w:rPr>
          <w:lang w:val="en-GB"/>
        </w:rPr>
        <w:t xml:space="preserve">most recent </w:t>
      </w:r>
      <w:r w:rsidRPr="00A82A0A">
        <w:rPr>
          <w:lang w:val="en-GB"/>
        </w:rPr>
        <w:t>available data</w:t>
      </w:r>
      <w:r w:rsidR="006558C0" w:rsidRPr="00A82A0A">
        <w:rPr>
          <w:rStyle w:val="FootnoteReference"/>
          <w:lang w:val="en-GB"/>
        </w:rPr>
        <w:footnoteReference w:id="9"/>
      </w:r>
      <w:r w:rsidRPr="00A82A0A">
        <w:rPr>
          <w:lang w:val="en-GB"/>
        </w:rPr>
        <w:t xml:space="preserve"> the wage gap between men and women in Catalonia is 23.4% for the whole labour population, and 15.1% for full time employees</w:t>
      </w:r>
      <w:r w:rsidR="00C82E4E" w:rsidRPr="00A82A0A">
        <w:rPr>
          <w:lang w:val="en-GB"/>
        </w:rPr>
        <w:t>.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3080"/>
        <w:gridCol w:w="551"/>
        <w:gridCol w:w="1296"/>
        <w:gridCol w:w="504"/>
        <w:gridCol w:w="1347"/>
        <w:gridCol w:w="504"/>
        <w:gridCol w:w="1347"/>
      </w:tblGrid>
      <w:tr w:rsidR="0064762E" w:rsidRPr="0064762E" w14:paraId="3F039DE1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FCAE" w14:textId="77777777" w:rsidR="0064762E" w:rsidRPr="00E32301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C97C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gram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TOTAL</w:t>
            </w:r>
            <w:proofErr w:type="gram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IFAE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4473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DONES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9A81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HOMES</w:t>
            </w:r>
          </w:p>
        </w:tc>
      </w:tr>
      <w:tr w:rsidR="0064762E" w:rsidRPr="0064762E" w14:paraId="159B8E52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9ACE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10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6CC0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D119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93A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88B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A129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</w:tr>
      <w:tr w:rsidR="0064762E" w:rsidRPr="0064762E" w14:paraId="62A48071" w14:textId="77777777" w:rsidTr="0064762E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CF9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Administració</w:t>
            </w:r>
            <w:proofErr w:type="spellEnd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i </w:t>
            </w: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gestió</w:t>
            </w:r>
            <w:proofErr w:type="spellEnd"/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F43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A273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EAE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3A39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77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46D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4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9CE9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134</w:t>
            </w:r>
          </w:p>
        </w:tc>
      </w:tr>
      <w:tr w:rsidR="0064762E" w:rsidRPr="0064762E" w14:paraId="1AC55559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5B2C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Suport</w:t>
            </w:r>
            <w:proofErr w:type="spellEnd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a la recerca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84F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093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3987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D2E0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119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A54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8C33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97</w:t>
            </w:r>
          </w:p>
        </w:tc>
      </w:tr>
      <w:tr w:rsidR="0064762E" w:rsidRPr="0064762E" w14:paraId="3B697C54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8027D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Recerca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43000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71DB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89C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032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92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5AF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A78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104</w:t>
            </w:r>
          </w:p>
        </w:tc>
      </w:tr>
      <w:tr w:rsidR="0064762E" w:rsidRPr="0064762E" w14:paraId="215A23B8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6D85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Global IFAE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D5A5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78F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B93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DF1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94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E98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5DCB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102</w:t>
            </w:r>
          </w:p>
        </w:tc>
      </w:tr>
      <w:tr w:rsidR="0064762E" w:rsidRPr="0064762E" w14:paraId="481FF114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FDC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43AF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7799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1F6C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2902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031A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B9F6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 </w:t>
            </w:r>
          </w:p>
        </w:tc>
      </w:tr>
      <w:tr w:rsidR="0064762E" w:rsidRPr="0064762E" w14:paraId="775D8AFD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5686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4066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gram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TOTAL</w:t>
            </w:r>
            <w:proofErr w:type="gram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IFAE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DD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DONES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427F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HOMES</w:t>
            </w:r>
          </w:p>
        </w:tc>
      </w:tr>
      <w:tr w:rsidR="0064762E" w:rsidRPr="0064762E" w14:paraId="67B71D7C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37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D0E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225B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13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B57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A5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A3D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</w:tr>
      <w:tr w:rsidR="0064762E" w:rsidRPr="0064762E" w14:paraId="0DEB74CA" w14:textId="77777777" w:rsidTr="0064762E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898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Administració</w:t>
            </w:r>
            <w:proofErr w:type="spellEnd"/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44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F02C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281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093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87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BE80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E73B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129</w:t>
            </w:r>
          </w:p>
        </w:tc>
      </w:tr>
      <w:tr w:rsidR="0064762E" w:rsidRPr="0064762E" w14:paraId="222C0CFF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C1F42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Gestió</w:t>
            </w:r>
            <w:proofErr w:type="spellEnd"/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F17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DE1B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B26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4E1E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99B0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9EA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</w:tr>
      <w:tr w:rsidR="0064762E" w:rsidRPr="0064762E" w14:paraId="4937AAB4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4451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gram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Total</w:t>
            </w:r>
            <w:proofErr w:type="gramEnd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Administració</w:t>
            </w:r>
            <w:proofErr w:type="spellEnd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i </w:t>
            </w: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gestió</w:t>
            </w:r>
            <w:proofErr w:type="spellEnd"/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9B4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154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BD4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068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77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E41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6D5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134</w:t>
            </w:r>
          </w:p>
        </w:tc>
      </w:tr>
      <w:tr w:rsidR="0064762E" w:rsidRPr="0064762E" w14:paraId="34349778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A96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751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8BDD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642B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9903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0EAA" w14:textId="77777777" w:rsidR="0064762E" w:rsidRPr="0064762E" w:rsidRDefault="0064762E" w:rsidP="00647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4BEC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64762E" w:rsidRPr="0064762E" w14:paraId="588A27B2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9E73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2830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gram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TOTAL</w:t>
            </w:r>
            <w:proofErr w:type="gram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IFAE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C14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DONES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8351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HOMES</w:t>
            </w:r>
          </w:p>
        </w:tc>
      </w:tr>
      <w:tr w:rsidR="0064762E" w:rsidRPr="0064762E" w14:paraId="199562BC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BE2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3DA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0FAE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6D8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0D1E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0467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[N]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A85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Cost</w:t>
            </w:r>
            <w:proofErr w:type="spellEnd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64762E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brut</w:t>
            </w:r>
            <w:proofErr w:type="spellEnd"/>
          </w:p>
        </w:tc>
      </w:tr>
      <w:tr w:rsidR="0064762E" w:rsidRPr="0064762E" w14:paraId="323EE90C" w14:textId="77777777" w:rsidTr="0064762E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7834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Predocs</w:t>
            </w:r>
            <w:proofErr w:type="spellEnd"/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155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37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A7A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B83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12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B89A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95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C6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25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C91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103</w:t>
            </w:r>
          </w:p>
        </w:tc>
      </w:tr>
      <w:tr w:rsidR="0064762E" w:rsidRPr="0064762E" w14:paraId="745949E3" w14:textId="77777777" w:rsidTr="0064762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309A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Postdocs</w:t>
            </w:r>
            <w:proofErr w:type="spellEnd"/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431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67BC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39E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05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97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3F6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596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101</w:t>
            </w:r>
          </w:p>
        </w:tc>
      </w:tr>
      <w:tr w:rsidR="0064762E" w:rsidRPr="0064762E" w14:paraId="12463B95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46D46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Staff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C7C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1E93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7C718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A774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EEC6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EF69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98</w:t>
            </w:r>
          </w:p>
        </w:tc>
      </w:tr>
      <w:tr w:rsidR="0064762E" w:rsidRPr="0064762E" w14:paraId="2C9E514C" w14:textId="77777777" w:rsidTr="0064762E">
        <w:trPr>
          <w:trHeight w:val="32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6B97" w14:textId="77777777" w:rsidR="0064762E" w:rsidRPr="0064762E" w:rsidRDefault="0064762E" w:rsidP="00647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gramStart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Total</w:t>
            </w:r>
            <w:proofErr w:type="gramEnd"/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personal de recerca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5CFD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4DA5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96D2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9D4FF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94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2B4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36C1" w14:textId="77777777" w:rsidR="0064762E" w:rsidRPr="0064762E" w:rsidRDefault="0064762E" w:rsidP="00647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64762E">
              <w:rPr>
                <w:rFonts w:ascii="Calibri" w:eastAsia="Times New Roman" w:hAnsi="Calibri" w:cs="Calibri"/>
                <w:color w:val="000000"/>
                <w:lang w:val="es-ES"/>
              </w:rPr>
              <w:t>102</w:t>
            </w:r>
          </w:p>
        </w:tc>
      </w:tr>
    </w:tbl>
    <w:p w14:paraId="1BBCC364" w14:textId="77777777" w:rsidR="0064762E" w:rsidRPr="00A82A0A" w:rsidRDefault="0064762E" w:rsidP="00C82E4E">
      <w:pPr>
        <w:spacing w:after="120" w:line="264" w:lineRule="auto"/>
        <w:jc w:val="both"/>
        <w:rPr>
          <w:lang w:val="en-GB"/>
        </w:rPr>
      </w:pPr>
    </w:p>
    <w:p w14:paraId="3F64B63C" w14:textId="77777777" w:rsidR="0064762E" w:rsidRDefault="0064762E" w:rsidP="00E770D7">
      <w:pPr>
        <w:pStyle w:val="Heading21"/>
      </w:pPr>
    </w:p>
    <w:p w14:paraId="6C443208" w14:textId="28859167" w:rsidR="00CE2B86" w:rsidRDefault="002F69CC" w:rsidP="00E770D7">
      <w:pPr>
        <w:pStyle w:val="Heading21"/>
      </w:pPr>
      <w:r w:rsidRPr="00A82A0A">
        <w:t xml:space="preserve">11. </w:t>
      </w:r>
      <w:r w:rsidR="00A82A0A" w:rsidRPr="00A82A0A">
        <w:t>Personnel selection processes</w:t>
      </w:r>
    </w:p>
    <w:p w14:paraId="2727D896" w14:textId="00638B9E" w:rsidR="000E6E35" w:rsidRPr="00E32301" w:rsidRDefault="00E32301" w:rsidP="000E6E35">
      <w:pPr>
        <w:rPr>
          <w:color w:val="000000" w:themeColor="text1"/>
          <w:lang w:val="en-GB"/>
        </w:rPr>
      </w:pPr>
      <w:r w:rsidRPr="00E32301">
        <w:rPr>
          <w:color w:val="000000" w:themeColor="text1"/>
          <w:lang w:val="en-GB"/>
        </w:rPr>
        <w:t>We include</w:t>
      </w:r>
      <w:r>
        <w:rPr>
          <w:color w:val="000000" w:themeColor="text1"/>
          <w:lang w:val="en-GB"/>
        </w:rPr>
        <w:t xml:space="preserve"> all selection processes, although in the case of some fellowships the selection process is not under IFAE control.</w:t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1900"/>
        <w:gridCol w:w="840"/>
        <w:gridCol w:w="829"/>
        <w:gridCol w:w="906"/>
        <w:gridCol w:w="891"/>
        <w:gridCol w:w="914"/>
        <w:gridCol w:w="762"/>
        <w:gridCol w:w="980"/>
        <w:gridCol w:w="818"/>
        <w:gridCol w:w="980"/>
      </w:tblGrid>
      <w:tr w:rsidR="000E6E35" w:rsidRPr="000E6E35" w14:paraId="43A17097" w14:textId="77777777" w:rsidTr="000E6E35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5D3" w14:textId="77777777" w:rsidR="000E6E35" w:rsidRPr="00E32301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323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D46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places</w:t>
            </w:r>
            <w:proofErr w:type="spellEnd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B64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Sol·licituds</w:t>
            </w:r>
            <w:proofErr w:type="spellEnd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99F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Contractes</w:t>
            </w:r>
          </w:p>
        </w:tc>
      </w:tr>
      <w:tr w:rsidR="000E6E35" w:rsidRPr="000E6E35" w14:paraId="0383A020" w14:textId="77777777" w:rsidTr="000E6E35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39FB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Àrea</w:t>
            </w:r>
            <w:proofErr w:type="spellEnd"/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5F5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DE53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C0A71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674C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84B5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F32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73C8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B957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17D8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</w:tr>
      <w:tr w:rsidR="000E6E35" w:rsidRPr="000E6E35" w14:paraId="7B271C05" w14:textId="77777777" w:rsidTr="000E6E35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9941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Administració</w:t>
            </w:r>
            <w:proofErr w:type="spellEnd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gestió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443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66D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374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66.1%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0A2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56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33.9%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5B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08A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F8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74A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0E6E35" w:rsidRPr="000E6E35" w14:paraId="0F64383C" w14:textId="77777777" w:rsidTr="000E6E35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95D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Suport</w:t>
            </w:r>
            <w:proofErr w:type="spellEnd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a la recerca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8DD6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4EC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9125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75.0%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E70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907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25.0%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647E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120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C791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F4A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</w:tr>
      <w:tr w:rsidR="000E6E35" w:rsidRPr="000E6E35" w14:paraId="3312FC2B" w14:textId="77777777" w:rsidTr="000E6E3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4A1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Recerca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C2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D9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AD65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47.3%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E1F9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E9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52.7%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468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A8E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21.1%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01F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661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78.9%</w:t>
            </w:r>
          </w:p>
        </w:tc>
      </w:tr>
      <w:tr w:rsidR="000E6E35" w:rsidRPr="000E6E35" w14:paraId="0507BBBA" w14:textId="77777777" w:rsidTr="000E6E35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0CADE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Global IFAE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143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590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82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BEA8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59.9%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70DB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55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3743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40.1%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5D7C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3263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28.6%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CAD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836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71.4%</w:t>
            </w:r>
          </w:p>
        </w:tc>
      </w:tr>
      <w:tr w:rsidR="000E6E35" w:rsidRPr="000E6E35" w14:paraId="0B09A52C" w14:textId="77777777" w:rsidTr="000E6E3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ADB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E473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CECA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125F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B13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1319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C96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B3C6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8162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46E5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  <w:tr w:rsidR="000E6E35" w:rsidRPr="000E6E35" w14:paraId="7DC6D840" w14:textId="77777777" w:rsidTr="000E6E35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44A1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E7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places</w:t>
            </w:r>
            <w:proofErr w:type="spellEnd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399B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Sol·licituds</w:t>
            </w:r>
            <w:proofErr w:type="spellEnd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C00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Contractes</w:t>
            </w:r>
          </w:p>
        </w:tc>
      </w:tr>
      <w:tr w:rsidR="000E6E35" w:rsidRPr="000E6E35" w14:paraId="734C3A2F" w14:textId="77777777" w:rsidTr="000E6E35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130C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Àrea</w:t>
            </w:r>
            <w:proofErr w:type="spellEnd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de recerca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0AF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0D9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09C7E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4A5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647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C14E5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6A6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dones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01F98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N</w:t>
            </w: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CF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%</w:t>
            </w:r>
            <w:proofErr w:type="spellStart"/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val="es-ES"/>
              </w:rPr>
              <w:t>homes</w:t>
            </w:r>
            <w:proofErr w:type="spellEnd"/>
          </w:p>
        </w:tc>
      </w:tr>
      <w:tr w:rsidR="000E6E35" w:rsidRPr="000E6E35" w14:paraId="6B269C32" w14:textId="77777777" w:rsidTr="000E6E35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035A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Divisió</w:t>
            </w:r>
            <w:proofErr w:type="spellEnd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Teòrica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B49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65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9B9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013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D79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21A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85FE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0.0%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2D07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185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100.0%</w:t>
            </w:r>
          </w:p>
        </w:tc>
      </w:tr>
      <w:tr w:rsidR="000E6E35" w:rsidRPr="000E6E35" w14:paraId="48DE853E" w14:textId="77777777" w:rsidTr="000E6E3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250C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Divisió</w:t>
            </w:r>
            <w:proofErr w:type="spellEnd"/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 xml:space="preserve"> Experimental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30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D87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410C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47.3%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1340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FF9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52.7%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3CE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E1D3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26.7%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442E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5B2C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73.3%</w:t>
            </w:r>
          </w:p>
        </w:tc>
      </w:tr>
      <w:tr w:rsidR="000E6E35" w:rsidRPr="000E6E35" w14:paraId="325622D9" w14:textId="77777777" w:rsidTr="000E6E35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88B2" w14:textId="77777777" w:rsidR="000E6E35" w:rsidRPr="000E6E35" w:rsidRDefault="000E6E35" w:rsidP="000E6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Global IFAE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E116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19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13AF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26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02C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47.3%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77C6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9FCC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52.7%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5024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58CE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21.1%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CE0D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7BD2" w14:textId="77777777" w:rsidR="000E6E35" w:rsidRPr="000E6E35" w:rsidRDefault="000E6E35" w:rsidP="000E6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E6E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78.9%</w:t>
            </w:r>
          </w:p>
        </w:tc>
      </w:tr>
    </w:tbl>
    <w:p w14:paraId="2D4060FA" w14:textId="15AFE65A" w:rsidR="005B31BB" w:rsidRPr="00B87CA9" w:rsidRDefault="005B31BB" w:rsidP="005B31BB">
      <w:pPr>
        <w:pStyle w:val="Heading21"/>
        <w:spacing w:after="0"/>
      </w:pPr>
    </w:p>
    <w:p w14:paraId="45A347FC" w14:textId="04AC69DA" w:rsidR="00E770D7" w:rsidRDefault="00E770D7" w:rsidP="00E21259">
      <w:pPr>
        <w:pStyle w:val="Heading41"/>
        <w:numPr>
          <w:ilvl w:val="0"/>
          <w:numId w:val="0"/>
        </w:numPr>
        <w:ind w:left="862" w:hanging="862"/>
        <w:rPr>
          <w:b w:val="0"/>
          <w:sz w:val="24"/>
        </w:rPr>
      </w:pPr>
      <w:r>
        <w:rPr>
          <w:b w:val="0"/>
          <w:sz w:val="24"/>
        </w:rPr>
        <w:t>EVOLUTION OF INDICATORS DURING THE LAST 5 YEARS</w:t>
      </w:r>
    </w:p>
    <w:p w14:paraId="65659474" w14:textId="5AC8E118" w:rsidR="003568BF" w:rsidRPr="003568BF" w:rsidRDefault="003568BF" w:rsidP="003568BF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</w:t>
      </w:r>
      <w:proofErr w:type="spellStart"/>
      <w:r w:rsidR="00D9741E">
        <w:t>with</w:t>
      </w:r>
      <w:proofErr w:type="spellEnd"/>
      <w:r w:rsidR="00D9741E">
        <w:t xml:space="preserve"> </w:t>
      </w:r>
      <w:proofErr w:type="spellStart"/>
      <w:r w:rsidR="00D9741E">
        <w:t>time</w:t>
      </w:r>
      <w:proofErr w:type="spellEnd"/>
      <w:r w:rsidR="004C6D10">
        <w:t xml:space="preserve">, as data </w:t>
      </w:r>
      <w:proofErr w:type="spellStart"/>
      <w:r w:rsidR="004C6D10">
        <w:t>were</w:t>
      </w:r>
      <w:proofErr w:type="spellEnd"/>
      <w:r w:rsidR="004C6D10">
        <w:t xml:space="preserve"> </w:t>
      </w:r>
      <w:proofErr w:type="spellStart"/>
      <w:r w:rsidR="004C6D10">
        <w:t>collected</w:t>
      </w:r>
      <w:proofErr w:type="spellEnd"/>
      <w:r w:rsidR="004C6D10">
        <w:t xml:space="preserve"> over 5 </w:t>
      </w:r>
      <w:proofErr w:type="spellStart"/>
      <w:r w:rsidR="004C6D10">
        <w:t>years</w:t>
      </w:r>
      <w:proofErr w:type="spellEnd"/>
      <w:r w:rsidR="00D9741E">
        <w:t>.</w:t>
      </w:r>
    </w:p>
    <w:p w14:paraId="33223BDA" w14:textId="6257DBB7" w:rsidR="00E770D7" w:rsidRDefault="003568BF" w:rsidP="00E21259">
      <w:pPr>
        <w:pStyle w:val="Heading41"/>
        <w:numPr>
          <w:ilvl w:val="0"/>
          <w:numId w:val="0"/>
        </w:numPr>
        <w:ind w:left="862" w:hanging="862"/>
        <w:rPr>
          <w:b w:val="0"/>
          <w:sz w:val="24"/>
        </w:rPr>
      </w:pPr>
      <w:r w:rsidRPr="003568BF">
        <w:rPr>
          <w:b w:val="0"/>
          <w:noProof/>
          <w:sz w:val="24"/>
        </w:rPr>
        <w:drawing>
          <wp:inline distT="0" distB="0" distL="0" distR="0" wp14:anchorId="708AEFAA" wp14:editId="684E418D">
            <wp:extent cx="4900930" cy="2712134"/>
            <wp:effectExtent l="0" t="0" r="13970" b="184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EED8096-6C1C-1B40-93DD-5D077F56F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94DA73" w14:textId="0F254B4F" w:rsidR="003568BF" w:rsidRPr="003568BF" w:rsidRDefault="003568BF" w:rsidP="003568BF">
      <w:proofErr w:type="spellStart"/>
      <w:r>
        <w:t>There</w:t>
      </w:r>
      <w:proofErr w:type="spellEnd"/>
      <w:r>
        <w:t xml:space="preserve"> is a </w:t>
      </w:r>
      <w:proofErr w:type="spellStart"/>
      <w:r>
        <w:t>slight</w:t>
      </w:r>
      <w:proofErr w:type="spellEnd"/>
      <w:r>
        <w:t xml:space="preserve"> </w:t>
      </w:r>
      <w:proofErr w:type="spellStart"/>
      <w:r w:rsidR="004C6D10">
        <w:t>increase</w:t>
      </w:r>
      <w:proofErr w:type="spellEnd"/>
      <w:r w:rsidR="004C6D10"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percentatge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65AD5922" w14:textId="2136C60C" w:rsidR="003568BF" w:rsidRDefault="003568BF" w:rsidP="003568BF">
      <w:r w:rsidRPr="003568BF">
        <w:rPr>
          <w:noProof/>
        </w:rPr>
        <w:lastRenderedPageBreak/>
        <w:drawing>
          <wp:inline distT="0" distB="0" distL="0" distR="0" wp14:anchorId="1ABA434D" wp14:editId="76B49917">
            <wp:extent cx="4901045" cy="3228493"/>
            <wp:effectExtent l="0" t="0" r="13970" b="1016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C252A121-B000-4E40-B01D-305931FA21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5887D6" w14:textId="7D58BF70" w:rsidR="003568BF" w:rsidRDefault="003568BF" w:rsidP="003568BF">
      <w:proofErr w:type="spellStart"/>
      <w:r>
        <w:t>The</w:t>
      </w:r>
      <w:proofErr w:type="spellEnd"/>
      <w:r>
        <w:t xml:space="preserve"> percentatge of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Postdocs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stabilize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30%.</w:t>
      </w:r>
    </w:p>
    <w:p w14:paraId="50B527FE" w14:textId="48C751F8" w:rsidR="003568BF" w:rsidRDefault="003568BF" w:rsidP="003568BF">
      <w:pPr>
        <w:jc w:val="center"/>
      </w:pPr>
      <w:r w:rsidRPr="003568BF">
        <w:rPr>
          <w:noProof/>
        </w:rPr>
        <w:drawing>
          <wp:inline distT="0" distB="0" distL="0" distR="0" wp14:anchorId="7816F977" wp14:editId="246D4A23">
            <wp:extent cx="4343400" cy="3228493"/>
            <wp:effectExtent l="0" t="0" r="12700" b="1016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898C271-7445-EC4C-B565-7657C3765F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DBC9EF" w14:textId="17CCC1B9" w:rsidR="003568BF" w:rsidRDefault="003568BF" w:rsidP="003568BF">
      <w:proofErr w:type="spellStart"/>
      <w:r>
        <w:t>The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has </w:t>
      </w:r>
      <w:proofErr w:type="spellStart"/>
      <w:r>
        <w:t>improved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ones.</w:t>
      </w:r>
    </w:p>
    <w:p w14:paraId="25308650" w14:textId="6763D8A5" w:rsidR="00D9741E" w:rsidRDefault="00D9741E" w:rsidP="000E6E35">
      <w:pPr>
        <w:jc w:val="center"/>
      </w:pPr>
      <w:r w:rsidRPr="00D9741E">
        <w:rPr>
          <w:noProof/>
        </w:rPr>
        <w:lastRenderedPageBreak/>
        <w:drawing>
          <wp:inline distT="0" distB="0" distL="0" distR="0" wp14:anchorId="430D58EB" wp14:editId="06D329DE">
            <wp:extent cx="5275384" cy="3084844"/>
            <wp:effectExtent l="0" t="0" r="8255" b="1397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63ED1978-8A40-4540-9F0D-E009AA5B1E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7B19A4" w14:textId="2567A2E1" w:rsidR="00D9741E" w:rsidRPr="003568BF" w:rsidRDefault="00D9741E" w:rsidP="003568BF">
      <w:proofErr w:type="spellStart"/>
      <w:r>
        <w:t>This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shows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of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evolves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to permanent </w:t>
      </w:r>
      <w:proofErr w:type="spellStart"/>
      <w:r>
        <w:t>research</w:t>
      </w:r>
      <w:proofErr w:type="spellEnd"/>
      <w:r>
        <w:t xml:space="preserve"> staff. </w:t>
      </w:r>
      <w:proofErr w:type="spellStart"/>
      <w:r>
        <w:t>The</w:t>
      </w:r>
      <w:proofErr w:type="spellEnd"/>
      <w:r>
        <w:t xml:space="preserve"> percentatges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</w:t>
      </w:r>
      <w:r w:rsidR="00C11934">
        <w:t>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5 </w:t>
      </w:r>
      <w:proofErr w:type="spellStart"/>
      <w:r>
        <w:t>years</w:t>
      </w:r>
      <w:proofErr w:type="spellEnd"/>
      <w:r>
        <w:t xml:space="preserve">. </w:t>
      </w:r>
    </w:p>
    <w:p w14:paraId="61E22784" w14:textId="240D73DA" w:rsidR="00E21259" w:rsidRPr="00D0117B" w:rsidRDefault="00E21259" w:rsidP="00E21259">
      <w:pPr>
        <w:pStyle w:val="Heading41"/>
        <w:numPr>
          <w:ilvl w:val="0"/>
          <w:numId w:val="0"/>
        </w:numPr>
        <w:ind w:left="862" w:hanging="862"/>
        <w:rPr>
          <w:b w:val="0"/>
          <w:sz w:val="24"/>
        </w:rPr>
      </w:pPr>
      <w:r w:rsidRPr="00135EC6">
        <w:rPr>
          <w:b w:val="0"/>
          <w:sz w:val="24"/>
        </w:rPr>
        <w:t>CONSIDERA</w:t>
      </w:r>
      <w:r w:rsidR="008A4B92">
        <w:rPr>
          <w:b w:val="0"/>
          <w:sz w:val="24"/>
        </w:rPr>
        <w:t>T</w:t>
      </w:r>
      <w:r w:rsidRPr="00135EC6">
        <w:rPr>
          <w:b w:val="0"/>
          <w:sz w:val="24"/>
        </w:rPr>
        <w:t>IONS</w:t>
      </w:r>
    </w:p>
    <w:p w14:paraId="3C12DA34" w14:textId="5AB29503" w:rsidR="00E21259" w:rsidRPr="008A4B92" w:rsidRDefault="008A4B92" w:rsidP="00E21259">
      <w:pPr>
        <w:pStyle w:val="ListParagraph"/>
        <w:numPr>
          <w:ilvl w:val="0"/>
          <w:numId w:val="22"/>
        </w:numPr>
        <w:spacing w:after="120" w:line="264" w:lineRule="auto"/>
        <w:ind w:left="714" w:hanging="357"/>
        <w:contextualSpacing w:val="0"/>
        <w:jc w:val="both"/>
        <w:rPr>
          <w:lang w:val="en-GB"/>
        </w:rPr>
      </w:pPr>
      <w:r w:rsidRPr="008A4B92">
        <w:rPr>
          <w:lang w:val="en-GB"/>
        </w:rPr>
        <w:t>Activities carried out in 201</w:t>
      </w:r>
      <w:r w:rsidR="004C6D10">
        <w:rPr>
          <w:lang w:val="en-GB"/>
        </w:rPr>
        <w:t>9</w:t>
      </w:r>
      <w:r w:rsidR="00E21259" w:rsidRPr="008A4B92">
        <w:rPr>
          <w:lang w:val="en-GB"/>
        </w:rPr>
        <w:t>:</w:t>
      </w:r>
    </w:p>
    <w:p w14:paraId="38D543A0" w14:textId="07FB32B0" w:rsidR="00D9741E" w:rsidRPr="00D9741E" w:rsidRDefault="00D9741E" w:rsidP="00D9741E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</w:pPr>
      <w:r>
        <w:rPr>
          <w:lang w:val="en-GB"/>
        </w:rPr>
        <w:t xml:space="preserve">Consolidating the collection of information for all hiring processes. </w:t>
      </w:r>
      <w:r w:rsidRPr="00E17A4F">
        <w:rPr>
          <w:lang w:val="en-GB"/>
        </w:rPr>
        <w:t xml:space="preserve">The statistics currently available, mostly retrospective, </w:t>
      </w:r>
      <w:r>
        <w:rPr>
          <w:lang w:val="en-GB"/>
        </w:rPr>
        <w:t>were</w:t>
      </w:r>
      <w:r w:rsidRPr="00E17A4F">
        <w:rPr>
          <w:lang w:val="en-GB"/>
        </w:rPr>
        <w:t xml:space="preserve"> heterogeneous </w:t>
      </w:r>
      <w:r>
        <w:rPr>
          <w:lang w:val="en-GB"/>
        </w:rPr>
        <w:t xml:space="preserve">(in some cases they </w:t>
      </w:r>
      <w:r w:rsidR="00603F17">
        <w:rPr>
          <w:lang w:val="en-GB"/>
        </w:rPr>
        <w:t>referred</w:t>
      </w:r>
      <w:r>
        <w:rPr>
          <w:lang w:val="en-GB"/>
        </w:rPr>
        <w:t xml:space="preserve"> to all applications received </w:t>
      </w:r>
      <w:r w:rsidR="006B4523">
        <w:rPr>
          <w:lang w:val="en-GB"/>
        </w:rPr>
        <w:t>and, in some cases,</w:t>
      </w:r>
      <w:r>
        <w:rPr>
          <w:lang w:val="en-GB"/>
        </w:rPr>
        <w:t xml:space="preserve"> just to the short list). A more homogenous criterium to gather them has been agreed. </w:t>
      </w:r>
    </w:p>
    <w:p w14:paraId="6FF3CE34" w14:textId="5C7B9245" w:rsidR="00765096" w:rsidRPr="00765096" w:rsidRDefault="005928F0" w:rsidP="00765096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</w:pPr>
      <w:r w:rsidRPr="005928F0">
        <w:rPr>
          <w:lang w:val="en-GB"/>
        </w:rPr>
        <w:t xml:space="preserve">Updating, as on </w:t>
      </w:r>
      <w:r w:rsidR="00E21259" w:rsidRPr="005928F0">
        <w:rPr>
          <w:lang w:val="en-GB"/>
        </w:rPr>
        <w:t>a 01/01/20</w:t>
      </w:r>
      <w:r w:rsidR="00D9741E">
        <w:rPr>
          <w:lang w:val="en-GB"/>
        </w:rPr>
        <w:t>20</w:t>
      </w:r>
      <w:r w:rsidR="00E21259" w:rsidRPr="005928F0">
        <w:rPr>
          <w:lang w:val="en-GB"/>
        </w:rPr>
        <w:t xml:space="preserve">, </w:t>
      </w:r>
      <w:r w:rsidRPr="005928F0">
        <w:rPr>
          <w:lang w:val="en-GB"/>
        </w:rPr>
        <w:t>the measures of the indicators of the Gender E</w:t>
      </w:r>
      <w:r>
        <w:rPr>
          <w:lang w:val="en-GB"/>
        </w:rPr>
        <w:t>q</w:t>
      </w:r>
      <w:r w:rsidRPr="005928F0">
        <w:rPr>
          <w:lang w:val="en-GB"/>
        </w:rPr>
        <w:t xml:space="preserve">uality </w:t>
      </w:r>
      <w:r w:rsidR="00E21259" w:rsidRPr="005928F0">
        <w:rPr>
          <w:lang w:val="en-GB"/>
        </w:rPr>
        <w:t>Pla</w:t>
      </w:r>
      <w:r w:rsidRPr="005928F0">
        <w:rPr>
          <w:lang w:val="en-GB"/>
        </w:rPr>
        <w:t>n</w:t>
      </w:r>
      <w:r w:rsidR="00765096">
        <w:rPr>
          <w:lang w:val="en-GB"/>
        </w:rPr>
        <w:t xml:space="preserve"> and providing graphs showing the evolution of indicators with time.</w:t>
      </w:r>
      <w:r w:rsidR="00E21259" w:rsidRPr="00765096">
        <w:rPr>
          <w:lang w:val="en-GB"/>
        </w:rPr>
        <w:t xml:space="preserve"> </w:t>
      </w:r>
    </w:p>
    <w:p w14:paraId="03CD9440" w14:textId="57E1F3E8" w:rsidR="00765096" w:rsidRPr="006B4523" w:rsidRDefault="00765096" w:rsidP="00765096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  <w:rPr>
          <w:lang w:val="en-GB"/>
        </w:rPr>
      </w:pPr>
      <w:r w:rsidRPr="00765096">
        <w:rPr>
          <w:lang w:val="en-GB"/>
        </w:rPr>
        <w:t xml:space="preserve">Oscar Blanch participated in </w:t>
      </w:r>
      <w:r>
        <w:rPr>
          <w:lang w:val="en-GB"/>
        </w:rPr>
        <w:t xml:space="preserve">the </w:t>
      </w:r>
      <w:r w:rsidRPr="00765096">
        <w:rPr>
          <w:lang w:val="en-GB"/>
        </w:rPr>
        <w:t>course organized by the CERCA Gender Committee</w:t>
      </w:r>
      <w:r w:rsidR="006B4523">
        <w:rPr>
          <w:lang w:val="en-GB"/>
        </w:rPr>
        <w:t xml:space="preserve"> on</w:t>
      </w:r>
      <w:r w:rsidRPr="00765096">
        <w:rPr>
          <w:lang w:val="en-GB"/>
        </w:rPr>
        <w:t xml:space="preserve"> </w:t>
      </w:r>
      <w:r>
        <w:rPr>
          <w:lang w:val="en-GB"/>
        </w:rPr>
        <w:t>“</w:t>
      </w:r>
      <w:r w:rsidRPr="00765096">
        <w:rPr>
          <w:lang w:val="en"/>
        </w:rPr>
        <w:t>prevention of gender-based violence in the workplace</w:t>
      </w:r>
      <w:r>
        <w:rPr>
          <w:lang w:val="en"/>
        </w:rPr>
        <w:t>”.</w:t>
      </w:r>
    </w:p>
    <w:p w14:paraId="1256DFBB" w14:textId="7CEF39FA" w:rsidR="006B4523" w:rsidRPr="006B4523" w:rsidRDefault="006B4523" w:rsidP="006B4523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  <w:rPr>
          <w:lang w:val="en-GB"/>
        </w:rPr>
      </w:pPr>
      <w:r w:rsidRPr="005928F0">
        <w:rPr>
          <w:lang w:val="en-GB"/>
        </w:rPr>
        <w:t xml:space="preserve">Taking part in BIST’s call </w:t>
      </w:r>
      <w:r w:rsidRPr="005928F0">
        <w:rPr>
          <w:i/>
          <w:lang w:val="en-GB"/>
        </w:rPr>
        <w:t>Mothers of Science</w:t>
      </w:r>
      <w:r w:rsidRPr="005928F0">
        <w:rPr>
          <w:lang w:val="en-GB"/>
        </w:rPr>
        <w:t>.</w:t>
      </w:r>
      <w:r>
        <w:rPr>
          <w:lang w:val="en-GB"/>
        </w:rPr>
        <w:t xml:space="preserve"> </w:t>
      </w:r>
    </w:p>
    <w:p w14:paraId="7732F6F0" w14:textId="7D921AD8" w:rsidR="00E21259" w:rsidRDefault="00C30B09" w:rsidP="004C6D10">
      <w:pPr>
        <w:pStyle w:val="ListParagraph"/>
        <w:numPr>
          <w:ilvl w:val="0"/>
          <w:numId w:val="35"/>
        </w:numPr>
        <w:spacing w:after="120" w:line="264" w:lineRule="auto"/>
        <w:jc w:val="both"/>
        <w:rPr>
          <w:lang w:val="en-US"/>
        </w:rPr>
      </w:pPr>
      <w:r w:rsidRPr="00C30B09">
        <w:rPr>
          <w:lang w:val="en-GB"/>
        </w:rPr>
        <w:t>Involvement in the activi</w:t>
      </w:r>
      <w:r>
        <w:rPr>
          <w:lang w:val="en-GB"/>
        </w:rPr>
        <w:t>ti</w:t>
      </w:r>
      <w:r w:rsidRPr="00C30B09">
        <w:rPr>
          <w:lang w:val="en-GB"/>
        </w:rPr>
        <w:t xml:space="preserve">es of the </w:t>
      </w:r>
      <w:proofErr w:type="spellStart"/>
      <w:r w:rsidR="00E21259" w:rsidRPr="00C30B09">
        <w:rPr>
          <w:i/>
          <w:lang w:val="en-GB"/>
        </w:rPr>
        <w:t>Biennal</w:t>
      </w:r>
      <w:proofErr w:type="spellEnd"/>
      <w:r w:rsidR="00E21259" w:rsidRPr="00C30B09">
        <w:rPr>
          <w:i/>
          <w:lang w:val="en-GB"/>
        </w:rPr>
        <w:t xml:space="preserve"> Ciutat </w:t>
      </w:r>
      <w:proofErr w:type="spellStart"/>
      <w:r w:rsidR="00E21259" w:rsidRPr="00C30B09">
        <w:rPr>
          <w:i/>
          <w:lang w:val="en-GB"/>
        </w:rPr>
        <w:t>i</w:t>
      </w:r>
      <w:proofErr w:type="spellEnd"/>
      <w:r w:rsidR="00E21259" w:rsidRPr="00C30B09">
        <w:rPr>
          <w:i/>
          <w:lang w:val="en-GB"/>
        </w:rPr>
        <w:t xml:space="preserve"> </w:t>
      </w:r>
      <w:proofErr w:type="spellStart"/>
      <w:r w:rsidR="00E21259" w:rsidRPr="00C30B09">
        <w:rPr>
          <w:i/>
          <w:lang w:val="en-GB"/>
        </w:rPr>
        <w:t>Ciència</w:t>
      </w:r>
      <w:proofErr w:type="spellEnd"/>
      <w:r>
        <w:rPr>
          <w:lang w:val="en-GB"/>
        </w:rPr>
        <w:t>, organi</w:t>
      </w:r>
      <w:r w:rsidRPr="00C30B09">
        <w:rPr>
          <w:lang w:val="en-GB"/>
        </w:rPr>
        <w:t xml:space="preserve">sed by Barcelona City Council, and of the </w:t>
      </w:r>
      <w:r w:rsidR="00E21259" w:rsidRPr="00C30B09">
        <w:rPr>
          <w:i/>
          <w:lang w:val="en-GB"/>
        </w:rPr>
        <w:t>International Day of Women and Girls in Science</w:t>
      </w:r>
      <w:r w:rsidR="00E21259" w:rsidRPr="00C30B09">
        <w:rPr>
          <w:lang w:val="en-GB"/>
        </w:rPr>
        <w:t>.</w:t>
      </w:r>
      <w:r w:rsidR="006B4523">
        <w:rPr>
          <w:lang w:val="en-GB"/>
        </w:rPr>
        <w:t xml:space="preserve"> </w:t>
      </w:r>
      <w:r w:rsidR="006B4523" w:rsidRPr="006B4523">
        <w:rPr>
          <w:lang w:val="en-US"/>
        </w:rPr>
        <w:t>A Particle Physics masterclass was orga</w:t>
      </w:r>
      <w:r w:rsidR="006B4523">
        <w:rPr>
          <w:lang w:val="en-US"/>
        </w:rPr>
        <w:t>nized</w:t>
      </w:r>
      <w:r w:rsidR="006B4523" w:rsidRPr="006B4523">
        <w:rPr>
          <w:lang w:val="en-US"/>
        </w:rPr>
        <w:t xml:space="preserve"> at the cultural </w:t>
      </w:r>
      <w:proofErr w:type="spellStart"/>
      <w:r w:rsidR="006B4523" w:rsidRPr="006B4523">
        <w:rPr>
          <w:lang w:val="en-US"/>
        </w:rPr>
        <w:t>centre</w:t>
      </w:r>
      <w:proofErr w:type="spellEnd"/>
      <w:r w:rsidR="006B4523" w:rsidRPr="006B4523">
        <w:rPr>
          <w:lang w:val="en-US"/>
        </w:rPr>
        <w:t xml:space="preserve"> </w:t>
      </w:r>
      <w:proofErr w:type="spellStart"/>
      <w:r w:rsidR="006B4523" w:rsidRPr="006B4523">
        <w:rPr>
          <w:lang w:val="en-US"/>
        </w:rPr>
        <w:t>Fabra</w:t>
      </w:r>
      <w:proofErr w:type="spellEnd"/>
      <w:r w:rsidR="006B4523" w:rsidRPr="006B4523">
        <w:rPr>
          <w:lang w:val="en-US"/>
        </w:rPr>
        <w:t xml:space="preserve"> </w:t>
      </w:r>
      <w:proofErr w:type="spellStart"/>
      <w:r w:rsidR="006B4523" w:rsidRPr="006B4523">
        <w:rPr>
          <w:lang w:val="en-US"/>
        </w:rPr>
        <w:t>i</w:t>
      </w:r>
      <w:proofErr w:type="spellEnd"/>
      <w:r w:rsidR="006B4523" w:rsidRPr="006B4523">
        <w:rPr>
          <w:lang w:val="en-US"/>
        </w:rPr>
        <w:t xml:space="preserve"> Coats w</w:t>
      </w:r>
      <w:r w:rsidR="006B4523">
        <w:rPr>
          <w:lang w:val="en-US"/>
        </w:rPr>
        <w:t>ith</w:t>
      </w:r>
      <w:r w:rsidR="006B4523" w:rsidRPr="006B4523">
        <w:rPr>
          <w:lang w:val="en-US"/>
        </w:rPr>
        <w:t xml:space="preserve"> 100 students attend</w:t>
      </w:r>
      <w:r w:rsidR="006B4523">
        <w:rPr>
          <w:lang w:val="en-US"/>
        </w:rPr>
        <w:t>ing, as well as two</w:t>
      </w:r>
      <w:r w:rsidR="006B4523" w:rsidRPr="006B4523">
        <w:rPr>
          <w:lang w:val="en-US"/>
        </w:rPr>
        <w:t xml:space="preserve"> Lego workshops at Centre de </w:t>
      </w:r>
      <w:proofErr w:type="spellStart"/>
      <w:r w:rsidR="006B4523" w:rsidRPr="006B4523">
        <w:rPr>
          <w:lang w:val="en-US"/>
        </w:rPr>
        <w:t>Cultura</w:t>
      </w:r>
      <w:proofErr w:type="spellEnd"/>
      <w:r w:rsidR="006B4523" w:rsidRPr="006B4523">
        <w:rPr>
          <w:lang w:val="en-US"/>
        </w:rPr>
        <w:t xml:space="preserve"> </w:t>
      </w:r>
      <w:proofErr w:type="spellStart"/>
      <w:r w:rsidR="006B4523" w:rsidRPr="006B4523">
        <w:rPr>
          <w:lang w:val="en-US"/>
        </w:rPr>
        <w:t>Contemporània</w:t>
      </w:r>
      <w:proofErr w:type="spellEnd"/>
      <w:r w:rsidR="006B4523" w:rsidRPr="006B4523">
        <w:rPr>
          <w:lang w:val="en-US"/>
        </w:rPr>
        <w:t xml:space="preserve"> de Barcelona (CCCB)</w:t>
      </w:r>
    </w:p>
    <w:p w14:paraId="691CC295" w14:textId="77777777" w:rsidR="004C6D10" w:rsidRPr="004C6D10" w:rsidRDefault="004C6D10" w:rsidP="004C6D10">
      <w:pPr>
        <w:pStyle w:val="ListParagraph"/>
        <w:numPr>
          <w:ilvl w:val="0"/>
          <w:numId w:val="35"/>
        </w:numPr>
        <w:spacing w:after="120" w:line="264" w:lineRule="auto"/>
        <w:jc w:val="both"/>
        <w:rPr>
          <w:lang w:val="en-US"/>
        </w:rPr>
      </w:pPr>
    </w:p>
    <w:p w14:paraId="1E1B70E7" w14:textId="77E66982" w:rsidR="0059311A" w:rsidRDefault="00C148F0" w:rsidP="0059311A">
      <w:pPr>
        <w:pStyle w:val="ListParagraph"/>
        <w:numPr>
          <w:ilvl w:val="0"/>
          <w:numId w:val="22"/>
        </w:numPr>
        <w:spacing w:after="120" w:line="264" w:lineRule="auto"/>
        <w:ind w:left="714" w:hanging="357"/>
        <w:contextualSpacing w:val="0"/>
        <w:jc w:val="both"/>
        <w:rPr>
          <w:lang w:val="en-GB"/>
        </w:rPr>
      </w:pPr>
      <w:r w:rsidRPr="00F86D10">
        <w:rPr>
          <w:lang w:val="en-GB"/>
        </w:rPr>
        <w:t>As for the evolution</w:t>
      </w:r>
      <w:r w:rsidR="00F86D10" w:rsidRPr="00F86D10">
        <w:rPr>
          <w:lang w:val="en-GB"/>
        </w:rPr>
        <w:t xml:space="preserve"> of the indicators, the Gender equality Committee highlights:</w:t>
      </w:r>
    </w:p>
    <w:p w14:paraId="1965B552" w14:textId="21399AA1" w:rsidR="00F86D10" w:rsidRPr="00F86D10" w:rsidRDefault="009108FF" w:rsidP="0059311A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lang w:val="en-GB"/>
        </w:rPr>
      </w:pPr>
      <w:r>
        <w:rPr>
          <w:lang w:val="en-GB"/>
        </w:rPr>
        <w:t xml:space="preserve">There is a slight increase </w:t>
      </w:r>
      <w:r w:rsidR="00C11934">
        <w:rPr>
          <w:lang w:val="en-GB"/>
        </w:rPr>
        <w:t>of the overall fraction of women in the last years</w:t>
      </w:r>
      <w:r w:rsidR="00FD417D">
        <w:rPr>
          <w:lang w:val="en-GB"/>
        </w:rPr>
        <w:t>.</w:t>
      </w:r>
    </w:p>
    <w:p w14:paraId="65045E3B" w14:textId="7F6B2244" w:rsidR="00473EB2" w:rsidRPr="00925938" w:rsidRDefault="00920D9C" w:rsidP="0059311A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  <w:rPr>
          <w:lang w:val="en-GB"/>
        </w:rPr>
      </w:pPr>
      <w:r w:rsidRPr="00925938">
        <w:rPr>
          <w:lang w:val="en-GB"/>
        </w:rPr>
        <w:t xml:space="preserve">The stand-still </w:t>
      </w:r>
      <w:r w:rsidR="00925938" w:rsidRPr="00925938">
        <w:rPr>
          <w:lang w:val="en-GB"/>
        </w:rPr>
        <w:t>values of the indicators of government and advisory bodies and management of research projects.</w:t>
      </w:r>
    </w:p>
    <w:p w14:paraId="362ACB1D" w14:textId="20F15B56" w:rsidR="0059311A" w:rsidRDefault="00925938" w:rsidP="0059311A">
      <w:pPr>
        <w:pStyle w:val="ListParagraph"/>
        <w:numPr>
          <w:ilvl w:val="0"/>
          <w:numId w:val="22"/>
        </w:numPr>
        <w:spacing w:after="120" w:line="264" w:lineRule="auto"/>
        <w:ind w:left="714" w:hanging="357"/>
        <w:contextualSpacing w:val="0"/>
        <w:jc w:val="both"/>
        <w:rPr>
          <w:lang w:val="en-GB"/>
        </w:rPr>
      </w:pPr>
      <w:r w:rsidRPr="00E17A4F">
        <w:rPr>
          <w:lang w:val="en-GB"/>
        </w:rPr>
        <w:lastRenderedPageBreak/>
        <w:t>As for selection processes, the Gender equality Committee highlights:</w:t>
      </w:r>
    </w:p>
    <w:p w14:paraId="781DCC29" w14:textId="393D4767" w:rsidR="00E17A4F" w:rsidRPr="00531D8F" w:rsidRDefault="00E17A4F" w:rsidP="0059311A">
      <w:pPr>
        <w:pStyle w:val="ListParagraph"/>
        <w:numPr>
          <w:ilvl w:val="0"/>
          <w:numId w:val="36"/>
        </w:numPr>
        <w:spacing w:after="120" w:line="264" w:lineRule="auto"/>
        <w:contextualSpacing w:val="0"/>
        <w:jc w:val="both"/>
      </w:pPr>
      <w:r w:rsidRPr="00E17A4F">
        <w:rPr>
          <w:lang w:val="en-GB"/>
        </w:rPr>
        <w:t xml:space="preserve">The statistics currently available, mostly retrospective, are heterogeneous </w:t>
      </w:r>
      <w:r>
        <w:rPr>
          <w:lang w:val="en-GB"/>
        </w:rPr>
        <w:t xml:space="preserve">(in some cases they refer to all applications received </w:t>
      </w:r>
      <w:r w:rsidR="000E0842">
        <w:rPr>
          <w:lang w:val="en-GB"/>
        </w:rPr>
        <w:t>and, in some cases,</w:t>
      </w:r>
      <w:r>
        <w:rPr>
          <w:lang w:val="en-GB"/>
        </w:rPr>
        <w:t xml:space="preserve"> just to the short list</w:t>
      </w:r>
      <w:r w:rsidR="000E0842">
        <w:rPr>
          <w:lang w:val="en-GB"/>
        </w:rPr>
        <w:t>). The situation has been clarified</w:t>
      </w:r>
      <w:r w:rsidR="009108FF">
        <w:rPr>
          <w:lang w:val="en-GB"/>
        </w:rPr>
        <w:t xml:space="preserve"> and </w:t>
      </w:r>
      <w:r w:rsidR="00FD417D">
        <w:rPr>
          <w:lang w:val="en-GB"/>
        </w:rPr>
        <w:t xml:space="preserve">the collected statistics is now more complete </w:t>
      </w:r>
    </w:p>
    <w:p w14:paraId="6592D0A4" w14:textId="58C80EB8" w:rsidR="0059311A" w:rsidRPr="00A05340" w:rsidRDefault="00A05340" w:rsidP="000F7FF1">
      <w:pPr>
        <w:pStyle w:val="ListParagraph"/>
        <w:numPr>
          <w:ilvl w:val="0"/>
          <w:numId w:val="37"/>
        </w:numPr>
        <w:spacing w:after="120" w:line="264" w:lineRule="auto"/>
        <w:ind w:hanging="357"/>
        <w:contextualSpacing w:val="0"/>
        <w:jc w:val="both"/>
        <w:rPr>
          <w:lang w:val="en-GB"/>
        </w:rPr>
      </w:pPr>
      <w:r w:rsidRPr="00A05340">
        <w:rPr>
          <w:lang w:val="en-GB"/>
        </w:rPr>
        <w:t xml:space="preserve">The Committee considers that the degree of awareness about gender issues and of knowledge of the contents of the Gender Equality Plan at IFAE is </w:t>
      </w:r>
      <w:r w:rsidR="00D9741E">
        <w:rPr>
          <w:lang w:val="en-GB"/>
        </w:rPr>
        <w:t xml:space="preserve">still </w:t>
      </w:r>
      <w:r w:rsidRPr="00A05340">
        <w:rPr>
          <w:lang w:val="en-GB"/>
        </w:rPr>
        <w:t>low. In order to enhance the awareness</w:t>
      </w:r>
      <w:r w:rsidR="0089170B">
        <w:rPr>
          <w:lang w:val="en-GB"/>
        </w:rPr>
        <w:t>, the Committee</w:t>
      </w:r>
      <w:r w:rsidRPr="00A05340">
        <w:rPr>
          <w:lang w:val="en-GB"/>
        </w:rPr>
        <w:t>:</w:t>
      </w:r>
    </w:p>
    <w:p w14:paraId="79383D42" w14:textId="113780F1" w:rsidR="00E21259" w:rsidRPr="00765096" w:rsidRDefault="0089170B" w:rsidP="000F7FF1">
      <w:pPr>
        <w:pStyle w:val="ListParagraph"/>
        <w:numPr>
          <w:ilvl w:val="0"/>
          <w:numId w:val="38"/>
        </w:numPr>
        <w:spacing w:after="120" w:line="264" w:lineRule="auto"/>
        <w:ind w:hanging="357"/>
        <w:contextualSpacing w:val="0"/>
        <w:jc w:val="both"/>
        <w:rPr>
          <w:lang w:val="en-GB"/>
        </w:rPr>
      </w:pPr>
      <w:r>
        <w:rPr>
          <w:lang w:val="en-GB"/>
        </w:rPr>
        <w:t>A</w:t>
      </w:r>
      <w:r w:rsidR="00E51F63" w:rsidRPr="00526530">
        <w:rPr>
          <w:lang w:val="en-GB"/>
        </w:rPr>
        <w:t>gree</w:t>
      </w:r>
      <w:r>
        <w:rPr>
          <w:lang w:val="en-GB"/>
        </w:rPr>
        <w:t>s</w:t>
      </w:r>
      <w:r w:rsidR="00E51F63" w:rsidRPr="00526530">
        <w:rPr>
          <w:lang w:val="en-GB"/>
        </w:rPr>
        <w:t xml:space="preserve"> to carry on further dissemination actions</w:t>
      </w:r>
      <w:r w:rsidR="00765096">
        <w:rPr>
          <w:lang w:val="en-GB"/>
        </w:rPr>
        <w:t xml:space="preserve">, </w:t>
      </w:r>
      <w:r w:rsidR="00D9741E">
        <w:rPr>
          <w:lang w:val="en-GB"/>
        </w:rPr>
        <w:t xml:space="preserve">maybe not through </w:t>
      </w:r>
      <w:r w:rsidR="00765096">
        <w:rPr>
          <w:lang w:val="en-GB"/>
        </w:rPr>
        <w:t xml:space="preserve">a pizza seminar since </w:t>
      </w:r>
      <w:r w:rsidR="00FE4DD0">
        <w:rPr>
          <w:lang w:val="en-GB"/>
        </w:rPr>
        <w:t>one was</w:t>
      </w:r>
      <w:r w:rsidR="00765096">
        <w:rPr>
          <w:lang w:val="en-GB"/>
        </w:rPr>
        <w:t xml:space="preserve"> held already, but by other means like </w:t>
      </w:r>
      <w:r w:rsidR="00D9741E">
        <w:rPr>
          <w:lang w:val="en-GB"/>
        </w:rPr>
        <w:t xml:space="preserve">the </w:t>
      </w:r>
      <w:r w:rsidR="00D9741E" w:rsidRPr="00D9741E">
        <w:rPr>
          <w:i/>
          <w:lang w:val="en-GB"/>
        </w:rPr>
        <w:t>IFAE Newsletter</w:t>
      </w:r>
      <w:r w:rsidR="00765096">
        <w:rPr>
          <w:i/>
          <w:lang w:val="en-GB"/>
        </w:rPr>
        <w:t>.</w:t>
      </w:r>
      <w:r w:rsidR="00FE4DD0">
        <w:rPr>
          <w:lang w:val="en-GB"/>
        </w:rPr>
        <w:t xml:space="preserve"> We could publicize the reports and post regularly some relevant news or article.</w:t>
      </w:r>
    </w:p>
    <w:p w14:paraId="1F951A66" w14:textId="0C986A07" w:rsidR="00765096" w:rsidRPr="00107578" w:rsidRDefault="00765096" w:rsidP="000E0842">
      <w:pPr>
        <w:pStyle w:val="ListParagraph"/>
        <w:numPr>
          <w:ilvl w:val="0"/>
          <w:numId w:val="38"/>
        </w:numPr>
        <w:spacing w:after="120" w:line="264" w:lineRule="auto"/>
        <w:ind w:hanging="357"/>
        <w:jc w:val="both"/>
        <w:rPr>
          <w:lang w:val="en-US"/>
        </w:rPr>
      </w:pPr>
      <w:r>
        <w:rPr>
          <w:lang w:val="en-GB"/>
        </w:rPr>
        <w:t xml:space="preserve">Use the material </w:t>
      </w:r>
      <w:r w:rsidR="00FE4DD0">
        <w:rPr>
          <w:lang w:val="en-GB"/>
        </w:rPr>
        <w:t>developed</w:t>
      </w:r>
      <w:r>
        <w:rPr>
          <w:lang w:val="en-GB"/>
        </w:rPr>
        <w:t xml:space="preserve"> by CERCA</w:t>
      </w:r>
      <w:r w:rsidR="00FE4DD0">
        <w:rPr>
          <w:lang w:val="en-GB"/>
        </w:rPr>
        <w:t xml:space="preserve">, A </w:t>
      </w:r>
      <w:r>
        <w:rPr>
          <w:lang w:val="en-GB"/>
        </w:rPr>
        <w:t>video</w:t>
      </w:r>
      <w:r w:rsidR="00FE4DD0">
        <w:rPr>
          <w:lang w:val="en-GB"/>
        </w:rPr>
        <w:t xml:space="preserve"> </w:t>
      </w:r>
      <w:r w:rsidR="00FE4DD0" w:rsidRPr="00FE4DD0">
        <w:rPr>
          <w:lang w:val="en-GB"/>
        </w:rPr>
        <w:t>to raise awareness</w:t>
      </w:r>
      <w:r w:rsidR="00FE4DD0">
        <w:rPr>
          <w:lang w:val="en-GB"/>
        </w:rPr>
        <w:t xml:space="preserve"> is now available</w:t>
      </w:r>
      <w:r>
        <w:rPr>
          <w:lang w:val="en-GB"/>
        </w:rPr>
        <w:t xml:space="preserve"> (“from </w:t>
      </w:r>
      <w:proofErr w:type="spellStart"/>
      <w:r>
        <w:rPr>
          <w:lang w:val="en-GB"/>
        </w:rPr>
        <w:t>microagressions</w:t>
      </w:r>
      <w:proofErr w:type="spellEnd"/>
      <w:r>
        <w:rPr>
          <w:lang w:val="en-GB"/>
        </w:rPr>
        <w:t xml:space="preserve"> to </w:t>
      </w:r>
      <w:r w:rsidR="00FE4DD0">
        <w:rPr>
          <w:lang w:val="en-GB"/>
        </w:rPr>
        <w:t xml:space="preserve">sexual </w:t>
      </w:r>
      <w:r>
        <w:rPr>
          <w:lang w:val="en-GB"/>
        </w:rPr>
        <w:t>harassment”</w:t>
      </w:r>
      <w:r w:rsidR="00FE4DD0">
        <w:rPr>
          <w:lang w:val="en-GB"/>
        </w:rPr>
        <w:t xml:space="preserve">: </w:t>
      </w:r>
      <w:hyperlink r:id="rId13" w:tgtFrame="_blank" w:history="1">
        <w:r w:rsidR="00FE4DD0" w:rsidRPr="00FE4DD0">
          <w:rPr>
            <w:rStyle w:val="Hyperlink"/>
            <w:lang w:val="en-US"/>
          </w:rPr>
          <w:t>https://youtu.be/NyqXYQR5iBo</w:t>
        </w:r>
      </w:hyperlink>
      <w:r w:rsidRPr="00FE4DD0">
        <w:rPr>
          <w:lang w:val="en-GB"/>
        </w:rPr>
        <w:t xml:space="preserve">).  </w:t>
      </w:r>
      <w:r w:rsidR="000E0842">
        <w:rPr>
          <w:lang w:val="en-GB"/>
        </w:rPr>
        <w:t xml:space="preserve">This is the second video produced by CERCA. The first one was on “Recruitment bias in research </w:t>
      </w:r>
      <w:proofErr w:type="spellStart"/>
      <w:r w:rsidR="000E0842">
        <w:rPr>
          <w:lang w:val="en-GB"/>
        </w:rPr>
        <w:t>intitutes</w:t>
      </w:r>
      <w:proofErr w:type="spellEnd"/>
      <w:r w:rsidR="000E0842">
        <w:rPr>
          <w:lang w:val="en-GB"/>
        </w:rPr>
        <w:t xml:space="preserve">”: </w:t>
      </w:r>
      <w:hyperlink r:id="rId14" w:history="1">
        <w:r w:rsidR="000E0842" w:rsidRPr="0018535B">
          <w:rPr>
            <w:rStyle w:val="Hyperlink"/>
            <w:lang w:val="en-US"/>
          </w:rPr>
          <w:t>https://youtu.be/g978T58gELo</w:t>
        </w:r>
      </w:hyperlink>
      <w:r w:rsidR="000E0842">
        <w:rPr>
          <w:lang w:val="en-US"/>
        </w:rPr>
        <w:t xml:space="preserve"> . </w:t>
      </w:r>
      <w:r w:rsidRPr="000E0842">
        <w:rPr>
          <w:lang w:val="en-GB"/>
        </w:rPr>
        <w:t>An App</w:t>
      </w:r>
      <w:r w:rsidR="000E0842">
        <w:rPr>
          <w:lang w:val="en-GB"/>
        </w:rPr>
        <w:t>lication</w:t>
      </w:r>
      <w:r w:rsidRPr="000E0842">
        <w:rPr>
          <w:lang w:val="en-GB"/>
        </w:rPr>
        <w:t xml:space="preserve"> </w:t>
      </w:r>
      <w:r w:rsidR="000E0842">
        <w:rPr>
          <w:lang w:val="en-GB"/>
        </w:rPr>
        <w:t>for</w:t>
      </w:r>
      <w:r w:rsidR="00FE4DD0" w:rsidRPr="000E0842">
        <w:rPr>
          <w:lang w:val="en-GB"/>
        </w:rPr>
        <w:t xml:space="preserve"> mobile phones </w:t>
      </w:r>
      <w:r w:rsidRPr="000E0842">
        <w:rPr>
          <w:lang w:val="en-GB"/>
        </w:rPr>
        <w:t>will also be released</w:t>
      </w:r>
      <w:r w:rsidR="000E0842">
        <w:rPr>
          <w:lang w:val="en-GB"/>
        </w:rPr>
        <w:t xml:space="preserve"> with</w:t>
      </w:r>
      <w:r w:rsidRPr="000E0842">
        <w:rPr>
          <w:lang w:val="en-GB"/>
        </w:rPr>
        <w:t xml:space="preserve"> </w:t>
      </w:r>
      <w:r w:rsidR="000E0842">
        <w:rPr>
          <w:lang w:val="en-GB"/>
        </w:rPr>
        <w:t>a</w:t>
      </w:r>
      <w:r w:rsidRPr="000E0842">
        <w:rPr>
          <w:lang w:val="en-GB"/>
        </w:rPr>
        <w:t xml:space="preserve"> collection of small sessions that form a course</w:t>
      </w:r>
      <w:r w:rsidR="000E0842">
        <w:rPr>
          <w:lang w:val="en-GB"/>
        </w:rPr>
        <w:t xml:space="preserve"> and that could</w:t>
      </w:r>
      <w:r w:rsidRPr="000E0842">
        <w:rPr>
          <w:lang w:val="en-GB"/>
        </w:rPr>
        <w:t xml:space="preserve"> be part of a welcome back for newcomers</w:t>
      </w:r>
      <w:r w:rsidR="000E0842">
        <w:rPr>
          <w:lang w:val="en-GB"/>
        </w:rPr>
        <w:t>.</w:t>
      </w:r>
    </w:p>
    <w:p w14:paraId="4E284BD5" w14:textId="77777777" w:rsidR="00107578" w:rsidRPr="008430E8" w:rsidRDefault="00107578" w:rsidP="00107578">
      <w:pPr>
        <w:pStyle w:val="ListParagraph"/>
        <w:spacing w:after="120" w:line="264" w:lineRule="auto"/>
        <w:ind w:left="1068"/>
        <w:jc w:val="both"/>
        <w:rPr>
          <w:lang w:val="en-US"/>
        </w:rPr>
      </w:pPr>
    </w:p>
    <w:p w14:paraId="0A12CD25" w14:textId="3BBD5936" w:rsidR="008430E8" w:rsidRPr="008430E8" w:rsidRDefault="008430E8" w:rsidP="008430E8">
      <w:pPr>
        <w:pStyle w:val="ListParagraph"/>
        <w:numPr>
          <w:ilvl w:val="0"/>
          <w:numId w:val="38"/>
        </w:numPr>
        <w:spacing w:after="120" w:line="264" w:lineRule="auto"/>
        <w:ind w:hanging="357"/>
        <w:contextualSpacing w:val="0"/>
        <w:jc w:val="both"/>
        <w:rPr>
          <w:lang w:val="en-GB"/>
        </w:rPr>
      </w:pPr>
      <w:r>
        <w:rPr>
          <w:lang w:val="en-GB"/>
        </w:rPr>
        <w:t>Invite a women scientist to give a talk at IFAE on gender equality.</w:t>
      </w:r>
    </w:p>
    <w:p w14:paraId="560E034C" w14:textId="2C4C3F91" w:rsidR="008430E8" w:rsidRPr="00541EEF" w:rsidRDefault="008430E8" w:rsidP="008430E8">
      <w:pPr>
        <w:pStyle w:val="ListParagraph"/>
        <w:numPr>
          <w:ilvl w:val="0"/>
          <w:numId w:val="38"/>
        </w:numPr>
        <w:spacing w:after="120" w:line="264" w:lineRule="auto"/>
        <w:ind w:hanging="357"/>
        <w:contextualSpacing w:val="0"/>
        <w:jc w:val="both"/>
        <w:rPr>
          <w:lang w:val="en-GB"/>
        </w:rPr>
      </w:pPr>
      <w:r w:rsidRPr="00541EEF">
        <w:rPr>
          <w:lang w:val="en-GB"/>
        </w:rPr>
        <w:t xml:space="preserve">to stimulate debates within IFAE personnel, </w:t>
      </w:r>
      <w:r>
        <w:rPr>
          <w:lang w:val="en-GB"/>
        </w:rPr>
        <w:t>some open discussion sessions will be organized</w:t>
      </w:r>
    </w:p>
    <w:p w14:paraId="7D9BB2DE" w14:textId="67343EF4" w:rsidR="00973A64" w:rsidRPr="002606FF" w:rsidRDefault="00973A64" w:rsidP="008430E8">
      <w:pPr>
        <w:pStyle w:val="Heading41"/>
        <w:numPr>
          <w:ilvl w:val="0"/>
          <w:numId w:val="0"/>
        </w:numPr>
        <w:rPr>
          <w:b w:val="0"/>
          <w:sz w:val="24"/>
          <w:lang w:val="en-GB"/>
        </w:rPr>
      </w:pPr>
      <w:r w:rsidRPr="002606FF">
        <w:rPr>
          <w:b w:val="0"/>
          <w:sz w:val="24"/>
          <w:lang w:val="en-GB"/>
        </w:rPr>
        <w:t>A</w:t>
      </w:r>
      <w:r w:rsidR="002606FF" w:rsidRPr="002606FF">
        <w:rPr>
          <w:b w:val="0"/>
          <w:sz w:val="24"/>
          <w:lang w:val="en-GB"/>
        </w:rPr>
        <w:t>GREEMENTS</w:t>
      </w:r>
      <w:r w:rsidRPr="002606FF">
        <w:rPr>
          <w:b w:val="0"/>
          <w:sz w:val="24"/>
          <w:lang w:val="en-GB"/>
        </w:rPr>
        <w:t xml:space="preserve"> </w:t>
      </w:r>
    </w:p>
    <w:p w14:paraId="1E6112D1" w14:textId="17B8DC2A" w:rsidR="00531D8F" w:rsidRPr="00531D8F" w:rsidRDefault="00531D8F" w:rsidP="00531D8F">
      <w:pPr>
        <w:spacing w:after="120" w:line="264" w:lineRule="auto"/>
        <w:ind w:firstLine="360"/>
        <w:jc w:val="both"/>
        <w:rPr>
          <w:lang w:val="en-GB"/>
        </w:rPr>
      </w:pPr>
      <w:r w:rsidRPr="00531D8F">
        <w:rPr>
          <w:lang w:val="en-GB"/>
        </w:rPr>
        <w:t>The committee agrees to modify</w:t>
      </w:r>
    </w:p>
    <w:p w14:paraId="29E2FA18" w14:textId="61D9EA06" w:rsidR="00531D8F" w:rsidRDefault="00531D8F" w:rsidP="00531D8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FF7F9C">
        <w:rPr>
          <w:rFonts w:cs="Calibri"/>
          <w:szCs w:val="23"/>
          <w:lang w:val="en-GB"/>
        </w:rPr>
        <w:t>To update de Gender equality Plan will the following changes</w:t>
      </w:r>
    </w:p>
    <w:p w14:paraId="60E12E20" w14:textId="6C49ABC8" w:rsidR="00BB6FC7" w:rsidRPr="00BB6FC7" w:rsidRDefault="00531D8F" w:rsidP="00BB6FC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A term of office should be defined for the members representing the communities or groups in IFAE (3 years): theoretical and experimental research personnel, technical support and administration, as well as the chair. In case of PhD students and postdocs there will be a natural turn-over. The change will be implemented in a staggered manner.</w:t>
      </w:r>
    </w:p>
    <w:p w14:paraId="66949334" w14:textId="7909857C" w:rsidR="00531D8F" w:rsidRDefault="00531D8F" w:rsidP="00531D8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Each communit</w:t>
      </w:r>
      <w:r w:rsidR="008430E8">
        <w:rPr>
          <w:rFonts w:cs="Calibri"/>
          <w:szCs w:val="23"/>
          <w:lang w:val="en-GB"/>
        </w:rPr>
        <w:t>y</w:t>
      </w:r>
      <w:r>
        <w:rPr>
          <w:rFonts w:cs="Calibri"/>
          <w:szCs w:val="23"/>
          <w:lang w:val="en-GB"/>
        </w:rPr>
        <w:t xml:space="preserve"> will propose a </w:t>
      </w:r>
      <w:r w:rsidR="008430E8">
        <w:rPr>
          <w:rFonts w:cs="Calibri"/>
          <w:szCs w:val="23"/>
          <w:lang w:val="en-GB"/>
        </w:rPr>
        <w:t>representing member</w:t>
      </w:r>
      <w:r>
        <w:rPr>
          <w:rFonts w:cs="Calibri"/>
          <w:szCs w:val="23"/>
          <w:lang w:val="en-GB"/>
        </w:rPr>
        <w:t xml:space="preserve">. The chair will be selected by the </w:t>
      </w:r>
      <w:proofErr w:type="gramStart"/>
      <w:r>
        <w:rPr>
          <w:rFonts w:cs="Calibri"/>
          <w:szCs w:val="23"/>
          <w:lang w:val="en-GB"/>
        </w:rPr>
        <w:t xml:space="preserve">committee </w:t>
      </w:r>
      <w:r w:rsidR="008430E8">
        <w:rPr>
          <w:rFonts w:cs="Calibri"/>
          <w:szCs w:val="23"/>
          <w:lang w:val="en-GB"/>
        </w:rPr>
        <w:t xml:space="preserve"> members</w:t>
      </w:r>
      <w:proofErr w:type="gramEnd"/>
      <w:r w:rsidR="008430E8">
        <w:rPr>
          <w:rFonts w:cs="Calibri"/>
          <w:szCs w:val="23"/>
          <w:lang w:val="en-GB"/>
        </w:rPr>
        <w:t>.</w:t>
      </w:r>
    </w:p>
    <w:p w14:paraId="7D52E98B" w14:textId="65BA8BDD" w:rsidR="008430E8" w:rsidRPr="00531D8F" w:rsidRDefault="008430E8" w:rsidP="00531D8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The scope of the committee should be enlarged to incorporate more generally diversity issues.</w:t>
      </w:r>
    </w:p>
    <w:p w14:paraId="6F0C87F6" w14:textId="34F1437A" w:rsidR="0035056D" w:rsidRPr="0035056D" w:rsidRDefault="0035056D" w:rsidP="007160EC">
      <w:pPr>
        <w:pStyle w:val="ListParagraph"/>
        <w:numPr>
          <w:ilvl w:val="0"/>
          <w:numId w:val="22"/>
        </w:numPr>
        <w:spacing w:after="120" w:line="264" w:lineRule="auto"/>
        <w:ind w:left="714" w:hanging="357"/>
        <w:contextualSpacing w:val="0"/>
        <w:jc w:val="both"/>
        <w:rPr>
          <w:lang w:val="en-GB"/>
        </w:rPr>
      </w:pPr>
      <w:r w:rsidRPr="0035056D">
        <w:rPr>
          <w:lang w:val="en-GB"/>
        </w:rPr>
        <w:t xml:space="preserve">In accordance with Section5 of the Gender equality Plan, the Committee </w:t>
      </w:r>
      <w:r>
        <w:rPr>
          <w:lang w:val="en-GB"/>
        </w:rPr>
        <w:t>has agreed the following degrees of compliance of the 9 objectives of the Plan:</w:t>
      </w:r>
      <w:r w:rsidR="008430E8">
        <w:rPr>
          <w:lang w:val="en-GB"/>
        </w:rPr>
        <w:t xml:space="preserve"> </w:t>
      </w:r>
    </w:p>
    <w:p w14:paraId="4596E015" w14:textId="5980C777" w:rsidR="007160EC" w:rsidRPr="0035056D" w:rsidRDefault="0035056D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Objective</w:t>
      </w:r>
      <w:r w:rsidR="007160EC" w:rsidRPr="0035056D">
        <w:rPr>
          <w:rFonts w:cs="Calibri"/>
          <w:szCs w:val="23"/>
          <w:lang w:val="en-GB"/>
        </w:rPr>
        <w:t xml:space="preserve"> 1 (</w:t>
      </w:r>
      <w:r>
        <w:rPr>
          <w:rFonts w:cs="Calibri"/>
          <w:szCs w:val="23"/>
          <w:lang w:val="en-GB"/>
        </w:rPr>
        <w:t>publicizing the diagnostics</w:t>
      </w:r>
      <w:r w:rsidR="007160EC"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75%</w:t>
      </w:r>
    </w:p>
    <w:p w14:paraId="481F6D08" w14:textId="409FD355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2 (</w:t>
      </w:r>
      <w:r w:rsidR="0035056D">
        <w:rPr>
          <w:rFonts w:cs="Calibri"/>
          <w:szCs w:val="23"/>
          <w:lang w:val="en-GB"/>
        </w:rPr>
        <w:t>publicizing the Gender Equality Plan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50%</w:t>
      </w:r>
    </w:p>
    <w:p w14:paraId="78A698DB" w14:textId="020E9A63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3 (</w:t>
      </w:r>
      <w:r w:rsidR="0035056D">
        <w:rPr>
          <w:rFonts w:cs="Calibri"/>
          <w:szCs w:val="23"/>
          <w:lang w:val="en-GB"/>
        </w:rPr>
        <w:t>updating and improving the diagnostics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75%</w:t>
      </w:r>
    </w:p>
    <w:p w14:paraId="2A42F84E" w14:textId="57ABD203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4 (</w:t>
      </w:r>
      <w:r w:rsidR="0035056D">
        <w:rPr>
          <w:rFonts w:cs="Calibri"/>
          <w:szCs w:val="23"/>
          <w:lang w:val="en-GB"/>
        </w:rPr>
        <w:t>facilitating the access to the Plan and the indicators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100%</w:t>
      </w:r>
    </w:p>
    <w:p w14:paraId="663C8DCB" w14:textId="19FF7A70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lastRenderedPageBreak/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5 (</w:t>
      </w:r>
      <w:r w:rsidR="0035056D">
        <w:rPr>
          <w:rFonts w:cs="Calibri"/>
          <w:szCs w:val="23"/>
          <w:lang w:val="en-GB"/>
        </w:rPr>
        <w:t>improving the hiring process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25%</w:t>
      </w:r>
    </w:p>
    <w:p w14:paraId="3C188D32" w14:textId="3D438AA8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6 (</w:t>
      </w:r>
      <w:r w:rsidR="0035056D">
        <w:rPr>
          <w:rFonts w:cs="Calibri"/>
          <w:szCs w:val="23"/>
          <w:lang w:val="en-GB"/>
        </w:rPr>
        <w:t>improving the institutional role of women at IFAE</w:t>
      </w:r>
      <w:r w:rsidRPr="0035056D">
        <w:rPr>
          <w:rFonts w:cs="Calibri"/>
          <w:szCs w:val="23"/>
          <w:lang w:val="en-GB"/>
        </w:rPr>
        <w:t xml:space="preserve">): </w:t>
      </w:r>
      <w:r w:rsidR="00A62E37" w:rsidRPr="0035056D">
        <w:rPr>
          <w:rFonts w:cs="Calibri"/>
          <w:szCs w:val="23"/>
          <w:lang w:val="en-GB"/>
        </w:rPr>
        <w:t>0%</w:t>
      </w:r>
    </w:p>
    <w:p w14:paraId="14ED98F3" w14:textId="0B783566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7 (</w:t>
      </w:r>
      <w:r w:rsidR="0035056D">
        <w:rPr>
          <w:rFonts w:cs="Calibri"/>
          <w:szCs w:val="23"/>
          <w:lang w:val="en-GB"/>
        </w:rPr>
        <w:t>fostering the conciliation between personal life, family life, and work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75%</w:t>
      </w:r>
    </w:p>
    <w:p w14:paraId="7A115753" w14:textId="4B1CA8BF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8 (</w:t>
      </w:r>
      <w:r w:rsidR="0035056D">
        <w:rPr>
          <w:rFonts w:cs="Calibri"/>
          <w:szCs w:val="23"/>
          <w:lang w:val="en-GB"/>
        </w:rPr>
        <w:t>including equality as a corporative value of IFAE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50%</w:t>
      </w:r>
    </w:p>
    <w:p w14:paraId="064FFC13" w14:textId="156674D6" w:rsidR="007160EC" w:rsidRPr="0035056D" w:rsidRDefault="007160EC" w:rsidP="007160EC">
      <w:pPr>
        <w:pStyle w:val="ListParagraph"/>
        <w:numPr>
          <w:ilvl w:val="0"/>
          <w:numId w:val="34"/>
        </w:numPr>
        <w:spacing w:after="120" w:line="264" w:lineRule="auto"/>
        <w:contextualSpacing w:val="0"/>
        <w:jc w:val="both"/>
        <w:rPr>
          <w:rFonts w:cs="Calibri"/>
          <w:szCs w:val="23"/>
          <w:lang w:val="en-GB"/>
        </w:rPr>
      </w:pPr>
      <w:r w:rsidRPr="0035056D">
        <w:rPr>
          <w:rFonts w:cs="Calibri"/>
          <w:szCs w:val="23"/>
          <w:lang w:val="en-GB"/>
        </w:rPr>
        <w:t>Objecti</w:t>
      </w:r>
      <w:r w:rsidR="0035056D" w:rsidRPr="0035056D">
        <w:rPr>
          <w:rFonts w:cs="Calibri"/>
          <w:szCs w:val="23"/>
          <w:lang w:val="en-GB"/>
        </w:rPr>
        <w:t>ve</w:t>
      </w:r>
      <w:r w:rsidRPr="0035056D">
        <w:rPr>
          <w:rFonts w:cs="Calibri"/>
          <w:szCs w:val="23"/>
          <w:lang w:val="en-GB"/>
        </w:rPr>
        <w:t xml:space="preserve"> 9 (</w:t>
      </w:r>
      <w:r w:rsidR="0035056D">
        <w:rPr>
          <w:rFonts w:cs="Calibri"/>
          <w:szCs w:val="23"/>
          <w:lang w:val="en-GB"/>
        </w:rPr>
        <w:t xml:space="preserve">participating in national and international projects for the improvement of </w:t>
      </w:r>
      <w:r w:rsidR="0035056D" w:rsidRPr="0035056D">
        <w:rPr>
          <w:rFonts w:cs="Calibri"/>
          <w:szCs w:val="23"/>
          <w:lang w:val="en-GB"/>
        </w:rPr>
        <w:t>the role of women in Science</w:t>
      </w:r>
      <w:r w:rsidRPr="0035056D">
        <w:rPr>
          <w:rFonts w:cs="Calibri"/>
          <w:szCs w:val="23"/>
          <w:lang w:val="en-GB"/>
        </w:rPr>
        <w:t xml:space="preserve">): </w:t>
      </w:r>
      <w:r w:rsidR="00135EC6" w:rsidRPr="0035056D">
        <w:rPr>
          <w:rFonts w:cs="Calibri"/>
          <w:szCs w:val="23"/>
          <w:lang w:val="en-GB"/>
        </w:rPr>
        <w:t>50%</w:t>
      </w:r>
    </w:p>
    <w:p w14:paraId="24CD5000" w14:textId="77777777" w:rsidR="000E6E35" w:rsidRDefault="000E6E35" w:rsidP="00BE6CB3">
      <w:pPr>
        <w:spacing w:after="120" w:line="264" w:lineRule="auto"/>
        <w:rPr>
          <w:lang w:val="en-GB"/>
        </w:rPr>
      </w:pPr>
    </w:p>
    <w:p w14:paraId="7AD6EDE3" w14:textId="77777777" w:rsidR="000E6E35" w:rsidRDefault="000E6E35" w:rsidP="00BE6CB3">
      <w:pPr>
        <w:spacing w:after="120" w:line="264" w:lineRule="auto"/>
        <w:rPr>
          <w:lang w:val="en-GB"/>
        </w:rPr>
      </w:pPr>
    </w:p>
    <w:p w14:paraId="55CD2366" w14:textId="7382C545" w:rsidR="0098299C" w:rsidRPr="0035056D" w:rsidRDefault="009800E1" w:rsidP="00BE6CB3">
      <w:pPr>
        <w:spacing w:after="120" w:line="264" w:lineRule="auto"/>
        <w:rPr>
          <w:lang w:val="en-GB"/>
        </w:rPr>
      </w:pPr>
      <w:proofErr w:type="spellStart"/>
      <w:r w:rsidRPr="0035056D">
        <w:rPr>
          <w:lang w:val="en-GB"/>
        </w:rPr>
        <w:t>Bellaterra</w:t>
      </w:r>
      <w:proofErr w:type="spellEnd"/>
      <w:r w:rsidRPr="0035056D">
        <w:rPr>
          <w:lang w:val="en-GB"/>
        </w:rPr>
        <w:t>,</w:t>
      </w:r>
      <w:r w:rsidR="00107578">
        <w:rPr>
          <w:lang w:val="en-GB"/>
        </w:rPr>
        <w:t xml:space="preserve"> 29 July</w:t>
      </w:r>
      <w:bookmarkStart w:id="3" w:name="_GoBack"/>
      <w:bookmarkEnd w:id="3"/>
      <w:r w:rsidRPr="00603F17">
        <w:rPr>
          <w:lang w:val="en-GB"/>
        </w:rPr>
        <w:t xml:space="preserve"> </w:t>
      </w:r>
      <w:r w:rsidR="00107578" w:rsidRPr="00603F17">
        <w:rPr>
          <w:lang w:val="en-GB"/>
        </w:rPr>
        <w:t>2020</w:t>
      </w:r>
    </w:p>
    <w:p w14:paraId="536D4A58" w14:textId="77777777" w:rsidR="009800E1" w:rsidRPr="0035056D" w:rsidRDefault="009800E1" w:rsidP="00BE6CB3">
      <w:pPr>
        <w:spacing w:after="120" w:line="264" w:lineRule="auto"/>
        <w:rPr>
          <w:lang w:val="en-GB"/>
        </w:rPr>
      </w:pPr>
    </w:p>
    <w:p w14:paraId="39BB3B1A" w14:textId="77777777" w:rsidR="009800E1" w:rsidRPr="0035056D" w:rsidRDefault="009800E1" w:rsidP="00BE6CB3">
      <w:pPr>
        <w:spacing w:after="120" w:line="264" w:lineRule="auto"/>
        <w:rPr>
          <w:lang w:val="en-GB"/>
        </w:rPr>
      </w:pPr>
    </w:p>
    <w:p w14:paraId="6CCF4D20" w14:textId="77777777" w:rsidR="00561D50" w:rsidRPr="0035056D" w:rsidRDefault="00561D50" w:rsidP="00BE6CB3">
      <w:pPr>
        <w:spacing w:after="120" w:line="264" w:lineRule="auto"/>
        <w:rPr>
          <w:lang w:val="en-GB"/>
        </w:rPr>
      </w:pPr>
    </w:p>
    <w:p w14:paraId="5ED724C4" w14:textId="77777777" w:rsidR="009800E1" w:rsidRPr="0035056D" w:rsidRDefault="009800E1" w:rsidP="00BE6CB3">
      <w:pPr>
        <w:spacing w:after="120" w:line="264" w:lineRule="auto"/>
        <w:rPr>
          <w:lang w:val="en-GB"/>
        </w:rPr>
      </w:pPr>
    </w:p>
    <w:p w14:paraId="7EAA689D" w14:textId="3BD9616D" w:rsidR="009800E1" w:rsidRPr="0035056D" w:rsidRDefault="009800E1" w:rsidP="009800E1">
      <w:pPr>
        <w:spacing w:after="0" w:line="264" w:lineRule="auto"/>
        <w:jc w:val="center"/>
        <w:rPr>
          <w:lang w:val="en-GB"/>
        </w:rPr>
      </w:pPr>
      <w:r w:rsidRPr="0035056D">
        <w:rPr>
          <w:lang w:val="en-GB"/>
        </w:rPr>
        <w:t>Martine Bosman</w:t>
      </w:r>
    </w:p>
    <w:p w14:paraId="6A7C4113" w14:textId="6E0A91A0" w:rsidR="009800E1" w:rsidRPr="0035056D" w:rsidRDefault="0035056D" w:rsidP="009800E1">
      <w:pPr>
        <w:spacing w:after="120" w:line="264" w:lineRule="auto"/>
        <w:jc w:val="center"/>
        <w:rPr>
          <w:lang w:val="en-GB"/>
        </w:rPr>
      </w:pPr>
      <w:r w:rsidRPr="0035056D">
        <w:rPr>
          <w:lang w:val="en-GB"/>
        </w:rPr>
        <w:t>Chair of IFAE’s Gender Equality Committee</w:t>
      </w:r>
    </w:p>
    <w:p w14:paraId="2C40037A" w14:textId="77777777" w:rsidR="009800E1" w:rsidRPr="0035056D" w:rsidRDefault="009800E1" w:rsidP="00BE6CB3">
      <w:pPr>
        <w:spacing w:after="120" w:line="264" w:lineRule="auto"/>
        <w:rPr>
          <w:lang w:val="en-GB"/>
        </w:rPr>
      </w:pPr>
    </w:p>
    <w:p w14:paraId="2ED236EA" w14:textId="77777777" w:rsidR="009800E1" w:rsidRDefault="009800E1" w:rsidP="00BE6CB3">
      <w:pPr>
        <w:spacing w:after="120" w:line="264" w:lineRule="auto"/>
      </w:pPr>
    </w:p>
    <w:p w14:paraId="51916F72" w14:textId="77777777" w:rsidR="009800E1" w:rsidRDefault="009800E1" w:rsidP="00BE6CB3">
      <w:pPr>
        <w:spacing w:after="120" w:line="264" w:lineRule="auto"/>
      </w:pPr>
    </w:p>
    <w:sectPr w:rsidR="009800E1" w:rsidSect="00973A6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134" w:left="1418" w:header="113" w:footer="11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ED562" w14:textId="77777777" w:rsidR="00AF76F5" w:rsidRDefault="00AF76F5">
      <w:pPr>
        <w:spacing w:after="0" w:line="240" w:lineRule="auto"/>
      </w:pPr>
      <w:r>
        <w:separator/>
      </w:r>
    </w:p>
  </w:endnote>
  <w:endnote w:type="continuationSeparator" w:id="0">
    <w:p w14:paraId="3E9037C0" w14:textId="77777777" w:rsidR="00AF76F5" w:rsidRDefault="00AF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00" w:type="pct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02"/>
      <w:gridCol w:w="8313"/>
    </w:tblGrid>
    <w:tr w:rsidR="0064762E" w:rsidRPr="00973A64" w14:paraId="56CDC6C6" w14:textId="77777777" w:rsidTr="00FD4349">
      <w:trPr>
        <w:trHeight w:val="234"/>
      </w:trPr>
      <w:tc>
        <w:tcPr>
          <w:tcW w:w="58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1C076883" w14:textId="77777777" w:rsidR="0064762E" w:rsidRPr="00973A64" w:rsidRDefault="0064762E" w:rsidP="00973A64">
          <w:pPr>
            <w:pStyle w:val="Footer1"/>
            <w:jc w:val="right"/>
            <w:rPr>
              <w:sz w:val="20"/>
              <w:szCs w:val="20"/>
            </w:rPr>
          </w:pPr>
          <w:r w:rsidRPr="00973A64">
            <w:rPr>
              <w:sz w:val="20"/>
              <w:szCs w:val="20"/>
            </w:rPr>
            <w:fldChar w:fldCharType="begin"/>
          </w:r>
          <w:r w:rsidRPr="00973A64">
            <w:rPr>
              <w:sz w:val="20"/>
              <w:szCs w:val="20"/>
            </w:rPr>
            <w:instrText>PAGE</w:instrText>
          </w:r>
          <w:r w:rsidRPr="00973A6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</w:t>
          </w:r>
          <w:r w:rsidRPr="00973A64">
            <w:rPr>
              <w:sz w:val="20"/>
              <w:szCs w:val="20"/>
            </w:rPr>
            <w:fldChar w:fldCharType="end"/>
          </w:r>
        </w:p>
      </w:tc>
      <w:tc>
        <w:tcPr>
          <w:tcW w:w="811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left w:w="85" w:type="dxa"/>
          </w:tcMar>
        </w:tcPr>
        <w:p w14:paraId="63412FA5" w14:textId="28DF54AD" w:rsidR="0064762E" w:rsidRPr="00F07212" w:rsidRDefault="0064762E" w:rsidP="00F07212">
          <w:pPr>
            <w:pStyle w:val="Footer1"/>
            <w:rPr>
              <w:sz w:val="20"/>
              <w:szCs w:val="20"/>
              <w:lang w:val="en-GB"/>
            </w:rPr>
          </w:pPr>
          <w:r w:rsidRPr="00F07212">
            <w:rPr>
              <w:sz w:val="20"/>
              <w:szCs w:val="20"/>
              <w:lang w:val="en-GB"/>
            </w:rPr>
            <w:t>IFAE’s Gender Equality Plan. Annex 1</w:t>
          </w:r>
        </w:p>
      </w:tc>
    </w:tr>
  </w:tbl>
  <w:p w14:paraId="789234FB" w14:textId="77777777" w:rsidR="0064762E" w:rsidRDefault="0064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00" w:type="pct"/>
      <w:tblBorders>
        <w:top w:val="single" w:sz="18" w:space="0" w:color="808080"/>
        <w:right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602"/>
      <w:gridCol w:w="8313"/>
    </w:tblGrid>
    <w:tr w:rsidR="0064762E" w:rsidRPr="00973A64" w14:paraId="12C62C20" w14:textId="77777777" w:rsidTr="00FD4349">
      <w:trPr>
        <w:trHeight w:val="234"/>
      </w:trPr>
      <w:tc>
        <w:tcPr>
          <w:tcW w:w="58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8051546" w14:textId="77777777" w:rsidR="0064762E" w:rsidRPr="00973A64" w:rsidRDefault="0064762E" w:rsidP="00973A64">
          <w:pPr>
            <w:pStyle w:val="Footer1"/>
            <w:jc w:val="right"/>
            <w:rPr>
              <w:sz w:val="20"/>
              <w:szCs w:val="20"/>
            </w:rPr>
          </w:pPr>
          <w:r w:rsidRPr="00F10927">
            <w:rPr>
              <w:szCs w:val="20"/>
            </w:rPr>
            <w:fldChar w:fldCharType="begin"/>
          </w:r>
          <w:r w:rsidRPr="00F10927">
            <w:rPr>
              <w:szCs w:val="20"/>
            </w:rPr>
            <w:instrText>PAGE</w:instrText>
          </w:r>
          <w:r w:rsidRPr="00F10927"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1</w:t>
          </w:r>
          <w:r w:rsidRPr="00F10927">
            <w:rPr>
              <w:szCs w:val="20"/>
            </w:rPr>
            <w:fldChar w:fldCharType="end"/>
          </w:r>
        </w:p>
      </w:tc>
      <w:tc>
        <w:tcPr>
          <w:tcW w:w="8118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left w:w="85" w:type="dxa"/>
          </w:tcMar>
        </w:tcPr>
        <w:p w14:paraId="760E0441" w14:textId="358083F7" w:rsidR="0064762E" w:rsidRPr="00973A64" w:rsidRDefault="0064762E" w:rsidP="009A5ACC">
          <w:pPr>
            <w:pStyle w:val="Footer1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IFAE’s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Gender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Equality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Plan</w:t>
          </w:r>
          <w:proofErr w:type="spellEnd"/>
          <w:r>
            <w:rPr>
              <w:sz w:val="20"/>
              <w:szCs w:val="20"/>
            </w:rPr>
            <w:t>. Annex 1</w:t>
          </w:r>
        </w:p>
      </w:tc>
    </w:tr>
  </w:tbl>
  <w:p w14:paraId="7180DF58" w14:textId="77777777" w:rsidR="0064762E" w:rsidRDefault="0064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60540" w14:textId="77777777" w:rsidR="00AF76F5" w:rsidRDefault="00AF76F5">
      <w:r>
        <w:separator/>
      </w:r>
    </w:p>
  </w:footnote>
  <w:footnote w:type="continuationSeparator" w:id="0">
    <w:p w14:paraId="363E34AC" w14:textId="77777777" w:rsidR="00AF76F5" w:rsidRDefault="00AF76F5">
      <w:r>
        <w:continuationSeparator/>
      </w:r>
    </w:p>
  </w:footnote>
  <w:footnote w:id="1">
    <w:p w14:paraId="7EAA7361" w14:textId="609170CE" w:rsidR="0064762E" w:rsidRPr="00AC6654" w:rsidRDefault="0064762E" w:rsidP="00F32F5A">
      <w:pPr>
        <w:spacing w:after="40" w:line="240" w:lineRule="auto"/>
        <w:ind w:left="170" w:hanging="170"/>
        <w:jc w:val="both"/>
        <w:rPr>
          <w:sz w:val="20"/>
          <w:szCs w:val="20"/>
          <w:lang w:val="en-GB"/>
        </w:rPr>
      </w:pPr>
      <w:r w:rsidRPr="00AC6654">
        <w:rPr>
          <w:rStyle w:val="FootnoteReference"/>
          <w:sz w:val="20"/>
          <w:szCs w:val="20"/>
          <w:lang w:val="en-GB"/>
        </w:rPr>
        <w:footnoteRef/>
      </w:r>
      <w:r w:rsidRPr="00AC6654">
        <w:rPr>
          <w:sz w:val="20"/>
          <w:szCs w:val="20"/>
          <w:lang w:val="en-GB"/>
        </w:rPr>
        <w:t xml:space="preserve"> Composition: </w:t>
      </w:r>
      <w:r>
        <w:rPr>
          <w:sz w:val="20"/>
          <w:szCs w:val="20"/>
          <w:lang w:val="en-GB"/>
        </w:rPr>
        <w:t>M</w:t>
      </w:r>
      <w:r w:rsidRPr="00AC6654">
        <w:rPr>
          <w:sz w:val="20"/>
          <w:szCs w:val="20"/>
          <w:lang w:val="en-GB"/>
        </w:rPr>
        <w:t xml:space="preserve">artine Bosman (Chair), </w:t>
      </w:r>
      <w:proofErr w:type="spellStart"/>
      <w:r w:rsidRPr="00AC6654">
        <w:rPr>
          <w:sz w:val="20"/>
          <w:szCs w:val="20"/>
          <w:lang w:val="en-GB"/>
        </w:rPr>
        <w:t>Òscar</w:t>
      </w:r>
      <w:proofErr w:type="spellEnd"/>
      <w:r w:rsidRPr="00AC6654">
        <w:rPr>
          <w:sz w:val="20"/>
          <w:szCs w:val="20"/>
          <w:lang w:val="en-GB"/>
        </w:rPr>
        <w:t xml:space="preserve"> Blanch, Joaquim Bosch, </w:t>
      </w:r>
      <w:r>
        <w:rPr>
          <w:sz w:val="20"/>
          <w:szCs w:val="20"/>
          <w:lang w:val="en-GB"/>
        </w:rPr>
        <w:t xml:space="preserve">Laura </w:t>
      </w:r>
      <w:proofErr w:type="spellStart"/>
      <w:r>
        <w:rPr>
          <w:sz w:val="20"/>
          <w:szCs w:val="20"/>
          <w:lang w:val="en-GB"/>
        </w:rPr>
        <w:t>Cabayol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 w:rsidRPr="00AC6654">
        <w:rPr>
          <w:sz w:val="20"/>
          <w:szCs w:val="20"/>
          <w:lang w:val="en-GB"/>
        </w:rPr>
        <w:t>Laia</w:t>
      </w:r>
      <w:proofErr w:type="spellEnd"/>
      <w:r w:rsidRPr="00AC6654">
        <w:rPr>
          <w:sz w:val="20"/>
          <w:szCs w:val="20"/>
          <w:lang w:val="en-GB"/>
        </w:rPr>
        <w:t xml:space="preserve"> </w:t>
      </w:r>
      <w:proofErr w:type="spellStart"/>
      <w:r w:rsidRPr="00AC6654">
        <w:rPr>
          <w:sz w:val="20"/>
          <w:szCs w:val="20"/>
          <w:lang w:val="en-GB"/>
        </w:rPr>
        <w:t>Cardiel</w:t>
      </w:r>
      <w:proofErr w:type="spellEnd"/>
      <w:r w:rsidRPr="00AC6654">
        <w:rPr>
          <w:sz w:val="20"/>
          <w:szCs w:val="20"/>
          <w:lang w:val="en-GB"/>
        </w:rPr>
        <w:t xml:space="preserve">, Thorsten Lux, Eduard </w:t>
      </w:r>
      <w:proofErr w:type="spellStart"/>
      <w:r w:rsidRPr="00AC6654">
        <w:rPr>
          <w:sz w:val="20"/>
          <w:szCs w:val="20"/>
          <w:lang w:val="en-GB"/>
        </w:rPr>
        <w:t>Massó</w:t>
      </w:r>
      <w:proofErr w:type="spellEnd"/>
      <w:r w:rsidRPr="00AC6654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Malgorzata </w:t>
      </w:r>
      <w:proofErr w:type="spellStart"/>
      <w:r>
        <w:rPr>
          <w:sz w:val="20"/>
          <w:szCs w:val="20"/>
          <w:lang w:val="en-GB"/>
        </w:rPr>
        <w:t>Siurek</w:t>
      </w:r>
      <w:proofErr w:type="spellEnd"/>
      <w:r>
        <w:rPr>
          <w:sz w:val="20"/>
          <w:szCs w:val="20"/>
          <w:lang w:val="en-GB"/>
        </w:rPr>
        <w:t xml:space="preserve">, </w:t>
      </w:r>
      <w:r w:rsidRPr="00AC6654">
        <w:rPr>
          <w:sz w:val="20"/>
          <w:szCs w:val="20"/>
          <w:lang w:val="en-GB"/>
        </w:rPr>
        <w:t xml:space="preserve">Sara Strauch. </w:t>
      </w:r>
    </w:p>
  </w:footnote>
  <w:footnote w:id="2">
    <w:p w14:paraId="7D1D18B8" w14:textId="05B28F1A" w:rsidR="0064762E" w:rsidRPr="00AC6654" w:rsidRDefault="0064762E" w:rsidP="00F32F5A">
      <w:pPr>
        <w:pStyle w:val="FootnoteText"/>
        <w:spacing w:after="40"/>
        <w:rPr>
          <w:lang w:val="en-GB"/>
        </w:rPr>
      </w:pPr>
      <w:r w:rsidRPr="00AC6654">
        <w:rPr>
          <w:rStyle w:val="FootnoteReference"/>
          <w:lang w:val="en-GB"/>
        </w:rPr>
        <w:footnoteRef/>
      </w:r>
      <w:r w:rsidRPr="00AC6654">
        <w:rPr>
          <w:lang w:val="en-GB"/>
        </w:rPr>
        <w:t xml:space="preserve"> Data as on 01/01/20</w:t>
      </w:r>
      <w:r>
        <w:rPr>
          <w:lang w:val="en-GB"/>
        </w:rPr>
        <w:t>20</w:t>
      </w:r>
      <w:r w:rsidRPr="00AC6654">
        <w:rPr>
          <w:lang w:val="en-GB"/>
        </w:rPr>
        <w:t>.</w:t>
      </w:r>
    </w:p>
  </w:footnote>
  <w:footnote w:id="3">
    <w:p w14:paraId="6151DED3" w14:textId="1383EAB7" w:rsidR="0064762E" w:rsidRDefault="0064762E" w:rsidP="00F32F5A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</w:t>
      </w:r>
      <w:r>
        <w:t>Data as on 01/01/2020.</w:t>
      </w:r>
    </w:p>
  </w:footnote>
  <w:footnote w:id="4">
    <w:p w14:paraId="7E70F8B0" w14:textId="6897AEA3" w:rsidR="0064762E" w:rsidRDefault="0064762E" w:rsidP="00F32F5A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</w:t>
      </w:r>
      <w:r w:rsidRPr="00AC6654">
        <w:rPr>
          <w:lang w:val="en-GB"/>
        </w:rPr>
        <w:t xml:space="preserve">Data as on </w:t>
      </w:r>
      <w:r>
        <w:t>01/01/2020.</w:t>
      </w:r>
    </w:p>
  </w:footnote>
  <w:footnote w:id="5">
    <w:p w14:paraId="010D4ADB" w14:textId="77777777" w:rsidR="0064762E" w:rsidRPr="00D8265D" w:rsidRDefault="0064762E" w:rsidP="0064762E">
      <w:pPr>
        <w:pStyle w:val="FootnoteText"/>
        <w:ind w:left="170" w:hanging="170"/>
        <w:jc w:val="both"/>
        <w:rPr>
          <w:lang w:val="en-GB"/>
        </w:rPr>
      </w:pPr>
      <w:r w:rsidRPr="00D8265D">
        <w:rPr>
          <w:rStyle w:val="FootnoteReference"/>
          <w:lang w:val="en-GB"/>
        </w:rPr>
        <w:footnoteRef/>
      </w:r>
      <w:r w:rsidRPr="00D8265D">
        <w:rPr>
          <w:lang w:val="en-GB"/>
        </w:rPr>
        <w:t xml:space="preserve"> This table includes personnel hired by UAB, ICREA, </w:t>
      </w:r>
      <w:proofErr w:type="spellStart"/>
      <w:r w:rsidRPr="00D8265D">
        <w:rPr>
          <w:lang w:val="en-GB"/>
        </w:rPr>
        <w:t>i</w:t>
      </w:r>
      <w:proofErr w:type="spellEnd"/>
      <w:r w:rsidRPr="00D8265D">
        <w:rPr>
          <w:lang w:val="en-GB"/>
        </w:rPr>
        <w:t xml:space="preserve"> CIEMAT. Data as on 01/01/20</w:t>
      </w:r>
      <w:r>
        <w:rPr>
          <w:lang w:val="en-GB"/>
        </w:rPr>
        <w:t>20</w:t>
      </w:r>
      <w:r w:rsidRPr="00D8265D">
        <w:rPr>
          <w:lang w:val="en-GB"/>
        </w:rPr>
        <w:t xml:space="preserve">. </w:t>
      </w:r>
    </w:p>
  </w:footnote>
  <w:footnote w:id="6">
    <w:p w14:paraId="7C9B30BB" w14:textId="310858F8" w:rsidR="0064762E" w:rsidRDefault="0064762E" w:rsidP="00F32F5A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</w:t>
      </w:r>
      <w:r w:rsidRPr="00AC6654">
        <w:rPr>
          <w:lang w:val="en-GB"/>
        </w:rPr>
        <w:t xml:space="preserve">Data as on </w:t>
      </w:r>
      <w:r>
        <w:t>01/01/2020.</w:t>
      </w:r>
    </w:p>
  </w:footnote>
  <w:footnote w:id="7">
    <w:p w14:paraId="4BEE6A01" w14:textId="6E2DDA5D" w:rsidR="0064762E" w:rsidRDefault="0064762E" w:rsidP="00F32F5A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</w:t>
      </w:r>
      <w:r w:rsidRPr="00AC6654">
        <w:rPr>
          <w:lang w:val="en-GB"/>
        </w:rPr>
        <w:t xml:space="preserve">Data as on </w:t>
      </w:r>
      <w:r>
        <w:t>01/01/2020.</w:t>
      </w:r>
    </w:p>
  </w:footnote>
  <w:footnote w:id="8">
    <w:p w14:paraId="3051A3F8" w14:textId="4C64F2D8" w:rsidR="0064762E" w:rsidRDefault="0064762E" w:rsidP="00F32F5A">
      <w:pPr>
        <w:pStyle w:val="FootnoteText"/>
        <w:spacing w:after="40"/>
      </w:pPr>
      <w:r>
        <w:rPr>
          <w:rStyle w:val="FootnoteReference"/>
        </w:rPr>
        <w:footnoteRef/>
      </w:r>
      <w:r>
        <w:t xml:space="preserve"> </w:t>
      </w:r>
      <w:r>
        <w:t>Data as on 01/01/2020.</w:t>
      </w:r>
    </w:p>
  </w:footnote>
  <w:footnote w:id="9">
    <w:p w14:paraId="4FB1A642" w14:textId="1151D676" w:rsidR="0064762E" w:rsidRDefault="006476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2016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A1A2" w14:textId="6FA3951E" w:rsidR="0064762E" w:rsidRPr="00F32F5A" w:rsidRDefault="00AF76F5" w:rsidP="00F32F5A">
    <w:pPr>
      <w:pStyle w:val="Header1"/>
      <w:spacing w:before="120"/>
      <w:jc w:val="right"/>
      <w:rPr>
        <w:sz w:val="16"/>
        <w:szCs w:val="16"/>
      </w:rPr>
    </w:pPr>
    <w:r>
      <w:rPr>
        <w:noProof/>
      </w:rPr>
      <w:object w:dxaOrig="12300" w:dyaOrig="1200" w14:anchorId="14AC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41.9pt;height:42.95pt;mso-width-percent:0;mso-height-percent:0;mso-width-percent:0;mso-height-percent:0">
          <v:imagedata r:id="rId1" o:title=""/>
        </v:shape>
        <o:OLEObject Type="Embed" ProgID="PBrush" ShapeID="_x0000_i1026" DrawAspect="Content" ObjectID="_1683019769" r:id="rId2"/>
      </w:object>
    </w:r>
    <w:r w:rsidR="0064762E">
      <w:rPr>
        <w:sz w:val="16"/>
        <w:szCs w:val="16"/>
      </w:rPr>
      <w:t>Edifici C, Universitat Autònoma de Barcelona (UAB)</w:t>
    </w:r>
  </w:p>
  <w:p w14:paraId="669291B3" w14:textId="77777777" w:rsidR="0064762E" w:rsidRDefault="0064762E">
    <w:pPr>
      <w:pStyle w:val="Header1"/>
      <w:jc w:val="right"/>
    </w:pPr>
    <w:r>
      <w:rPr>
        <w:sz w:val="16"/>
        <w:szCs w:val="16"/>
      </w:rPr>
      <w:t>08193 Bellaterra (Barcelona)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DBFE" w14:textId="77777777" w:rsidR="0064762E" w:rsidRDefault="0064762E" w:rsidP="00F52D42">
    <w:pPr>
      <w:pStyle w:val="Header1"/>
      <w:jc w:val="right"/>
      <w:rPr>
        <w:sz w:val="16"/>
        <w:szCs w:val="16"/>
      </w:rPr>
    </w:pPr>
  </w:p>
  <w:p w14:paraId="4D4A9E47" w14:textId="77777777" w:rsidR="0064762E" w:rsidRDefault="0064762E" w:rsidP="00F52D42">
    <w:pPr>
      <w:pStyle w:val="Header1"/>
      <w:jc w:val="right"/>
      <w:rPr>
        <w:sz w:val="16"/>
        <w:szCs w:val="16"/>
      </w:rPr>
    </w:pPr>
  </w:p>
  <w:p w14:paraId="42A6DF23" w14:textId="37E928A5" w:rsidR="0064762E" w:rsidRDefault="00AF76F5" w:rsidP="00F52D42">
    <w:pPr>
      <w:pStyle w:val="Header1"/>
      <w:jc w:val="right"/>
      <w:rPr>
        <w:sz w:val="16"/>
        <w:szCs w:val="16"/>
      </w:rPr>
    </w:pPr>
    <w:r>
      <w:rPr>
        <w:noProof/>
      </w:rPr>
      <w:object w:dxaOrig="12300" w:dyaOrig="1200" w14:anchorId="27676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1.9pt;height:42.95pt;mso-width-percent:0;mso-height-percent:0;mso-width-percent:0;mso-height-percent:0">
          <v:imagedata r:id="rId1" o:title=""/>
        </v:shape>
        <o:OLEObject Type="Embed" ProgID="PBrush" ShapeID="_x0000_i1025" DrawAspect="Content" ObjectID="_1683019770" r:id="rId2"/>
      </w:object>
    </w:r>
  </w:p>
  <w:p w14:paraId="1523C8DA" w14:textId="77777777" w:rsidR="0064762E" w:rsidRDefault="0064762E" w:rsidP="00F52D42">
    <w:pPr>
      <w:pStyle w:val="Header1"/>
      <w:jc w:val="right"/>
      <w:rPr>
        <w:sz w:val="16"/>
        <w:szCs w:val="16"/>
      </w:rPr>
    </w:pPr>
    <w:r>
      <w:rPr>
        <w:sz w:val="16"/>
        <w:szCs w:val="16"/>
      </w:rPr>
      <w:t>Edifici C, Universitat Autònoma de Barcelona (UAB)</w:t>
    </w:r>
  </w:p>
  <w:p w14:paraId="18DD1F1A" w14:textId="77777777" w:rsidR="0064762E" w:rsidRDefault="0064762E" w:rsidP="00F52D42">
    <w:pPr>
      <w:pStyle w:val="Header1"/>
      <w:jc w:val="right"/>
      <w:rPr>
        <w:sz w:val="18"/>
        <w:szCs w:val="18"/>
      </w:rPr>
    </w:pPr>
    <w:r>
      <w:rPr>
        <w:sz w:val="16"/>
        <w:szCs w:val="16"/>
      </w:rPr>
      <w:t>08193 Bellaterra (Barcelona)</w:t>
    </w:r>
  </w:p>
  <w:p w14:paraId="1BD21E08" w14:textId="4962B9AB" w:rsidR="0064762E" w:rsidRDefault="00647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02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C081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B0EAA"/>
    <w:multiLevelType w:val="hybridMultilevel"/>
    <w:tmpl w:val="A3C0843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EC32CF"/>
    <w:multiLevelType w:val="multilevel"/>
    <w:tmpl w:val="EE4457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A95B1E"/>
    <w:multiLevelType w:val="multilevel"/>
    <w:tmpl w:val="8CD449F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8F5724"/>
    <w:multiLevelType w:val="hybridMultilevel"/>
    <w:tmpl w:val="8DB0205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E13CE0"/>
    <w:multiLevelType w:val="multilevel"/>
    <w:tmpl w:val="48F449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056325"/>
    <w:multiLevelType w:val="hybridMultilevel"/>
    <w:tmpl w:val="9B1E7C8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7902AF"/>
    <w:multiLevelType w:val="hybridMultilevel"/>
    <w:tmpl w:val="35D0D7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F11B3"/>
    <w:multiLevelType w:val="hybridMultilevel"/>
    <w:tmpl w:val="7D34A6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4396"/>
    <w:multiLevelType w:val="multilevel"/>
    <w:tmpl w:val="2CE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D1EC5"/>
    <w:multiLevelType w:val="multilevel"/>
    <w:tmpl w:val="45786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2F627FBA"/>
    <w:multiLevelType w:val="multilevel"/>
    <w:tmpl w:val="9606DF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9A7628"/>
    <w:multiLevelType w:val="multilevel"/>
    <w:tmpl w:val="558A12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5871A9"/>
    <w:multiLevelType w:val="hybridMultilevel"/>
    <w:tmpl w:val="5462C4F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2150AF"/>
    <w:multiLevelType w:val="multilevel"/>
    <w:tmpl w:val="04080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7E7F99"/>
    <w:multiLevelType w:val="hybridMultilevel"/>
    <w:tmpl w:val="EE6AD79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96775C"/>
    <w:multiLevelType w:val="multilevel"/>
    <w:tmpl w:val="895897FE"/>
    <w:lvl w:ilvl="0">
      <w:start w:val="1"/>
      <w:numFmt w:val="decimal"/>
      <w:pStyle w:val="Heading1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EA72D1C"/>
    <w:multiLevelType w:val="multilevel"/>
    <w:tmpl w:val="A85A38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0004B8"/>
    <w:multiLevelType w:val="multilevel"/>
    <w:tmpl w:val="45786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51D35E46"/>
    <w:multiLevelType w:val="hybridMultilevel"/>
    <w:tmpl w:val="BC04634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D7279E"/>
    <w:multiLevelType w:val="multilevel"/>
    <w:tmpl w:val="09A8B74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8037BF"/>
    <w:multiLevelType w:val="hybridMultilevel"/>
    <w:tmpl w:val="AF606E7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70D5169"/>
    <w:multiLevelType w:val="hybridMultilevel"/>
    <w:tmpl w:val="3A424404"/>
    <w:lvl w:ilvl="0" w:tplc="B426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14849"/>
    <w:multiLevelType w:val="hybridMultilevel"/>
    <w:tmpl w:val="CD4C6C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7E7A"/>
    <w:multiLevelType w:val="multilevel"/>
    <w:tmpl w:val="C5C6E9A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46E98"/>
    <w:multiLevelType w:val="hybridMultilevel"/>
    <w:tmpl w:val="F5D2101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D407C0"/>
    <w:multiLevelType w:val="hybridMultilevel"/>
    <w:tmpl w:val="F2262CE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2334"/>
    <w:multiLevelType w:val="hybridMultilevel"/>
    <w:tmpl w:val="84E6E07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D531C5"/>
    <w:multiLevelType w:val="hybridMultilevel"/>
    <w:tmpl w:val="133E9A1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6F32A1"/>
    <w:multiLevelType w:val="multilevel"/>
    <w:tmpl w:val="45508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EF30772"/>
    <w:multiLevelType w:val="hybridMultilevel"/>
    <w:tmpl w:val="DAC20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8159B"/>
    <w:multiLevelType w:val="multilevel"/>
    <w:tmpl w:val="84A0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ajorEastAsia" w:hAnsi="Calibri" w:cstheme="maj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5"/>
  </w:num>
  <w:num w:numId="5">
    <w:abstractNumId w:val="12"/>
  </w:num>
  <w:num w:numId="6">
    <w:abstractNumId w:val="21"/>
  </w:num>
  <w:num w:numId="7">
    <w:abstractNumId w:val="18"/>
  </w:num>
  <w:num w:numId="8">
    <w:abstractNumId w:val="4"/>
  </w:num>
  <w:num w:numId="9">
    <w:abstractNumId w:val="30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32"/>
  </w:num>
  <w:num w:numId="15">
    <w:abstractNumId w:val="3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23"/>
  </w:num>
  <w:num w:numId="22">
    <w:abstractNumId w:val="24"/>
  </w:num>
  <w:num w:numId="23">
    <w:abstractNumId w:val="27"/>
  </w:num>
  <w:num w:numId="24">
    <w:abstractNumId w:val="17"/>
  </w:num>
  <w:num w:numId="25">
    <w:abstractNumId w:val="17"/>
  </w:num>
  <w:num w:numId="26">
    <w:abstractNumId w:val="3"/>
  </w:num>
  <w:num w:numId="27">
    <w:abstractNumId w:val="8"/>
  </w:num>
  <w:num w:numId="28">
    <w:abstractNumId w:val="29"/>
  </w:num>
  <w:num w:numId="29">
    <w:abstractNumId w:val="14"/>
  </w:num>
  <w:num w:numId="30">
    <w:abstractNumId w:val="5"/>
  </w:num>
  <w:num w:numId="31">
    <w:abstractNumId w:val="20"/>
  </w:num>
  <w:num w:numId="32">
    <w:abstractNumId w:val="7"/>
  </w:num>
  <w:num w:numId="33">
    <w:abstractNumId w:val="28"/>
  </w:num>
  <w:num w:numId="34">
    <w:abstractNumId w:val="26"/>
  </w:num>
  <w:num w:numId="35">
    <w:abstractNumId w:val="16"/>
  </w:num>
  <w:num w:numId="36">
    <w:abstractNumId w:val="2"/>
  </w:num>
  <w:num w:numId="37">
    <w:abstractNumId w:val="31"/>
  </w:num>
  <w:num w:numId="38">
    <w:abstractNumId w:val="2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86"/>
    <w:rsid w:val="00007B8F"/>
    <w:rsid w:val="0001345D"/>
    <w:rsid w:val="00017A2C"/>
    <w:rsid w:val="00017C7C"/>
    <w:rsid w:val="00033247"/>
    <w:rsid w:val="000424AD"/>
    <w:rsid w:val="0004493A"/>
    <w:rsid w:val="000452C8"/>
    <w:rsid w:val="00045469"/>
    <w:rsid w:val="0004714A"/>
    <w:rsid w:val="00054306"/>
    <w:rsid w:val="00067340"/>
    <w:rsid w:val="0007187A"/>
    <w:rsid w:val="00082285"/>
    <w:rsid w:val="00087FDA"/>
    <w:rsid w:val="000926BB"/>
    <w:rsid w:val="000A3FB7"/>
    <w:rsid w:val="000A6A63"/>
    <w:rsid w:val="000A74B2"/>
    <w:rsid w:val="000B1F6A"/>
    <w:rsid w:val="000C240E"/>
    <w:rsid w:val="000C3E07"/>
    <w:rsid w:val="000D46AF"/>
    <w:rsid w:val="000D4EDE"/>
    <w:rsid w:val="000E0842"/>
    <w:rsid w:val="000E0C69"/>
    <w:rsid w:val="000E6E35"/>
    <w:rsid w:val="000F60F5"/>
    <w:rsid w:val="000F63B4"/>
    <w:rsid w:val="000F7AF2"/>
    <w:rsid w:val="000F7FF1"/>
    <w:rsid w:val="001054FC"/>
    <w:rsid w:val="0010722C"/>
    <w:rsid w:val="00107578"/>
    <w:rsid w:val="00107E8B"/>
    <w:rsid w:val="001113A9"/>
    <w:rsid w:val="00114D26"/>
    <w:rsid w:val="00130605"/>
    <w:rsid w:val="00135EC6"/>
    <w:rsid w:val="00136829"/>
    <w:rsid w:val="00141CAE"/>
    <w:rsid w:val="001428FB"/>
    <w:rsid w:val="001444CB"/>
    <w:rsid w:val="00144F15"/>
    <w:rsid w:val="001467AA"/>
    <w:rsid w:val="00147103"/>
    <w:rsid w:val="00157385"/>
    <w:rsid w:val="00182210"/>
    <w:rsid w:val="00182943"/>
    <w:rsid w:val="00185310"/>
    <w:rsid w:val="00185C01"/>
    <w:rsid w:val="00196628"/>
    <w:rsid w:val="001A2179"/>
    <w:rsid w:val="001A21BA"/>
    <w:rsid w:val="001A72CF"/>
    <w:rsid w:val="001C02F4"/>
    <w:rsid w:val="001D0500"/>
    <w:rsid w:val="001D4A3F"/>
    <w:rsid w:val="001E659B"/>
    <w:rsid w:val="00201D0A"/>
    <w:rsid w:val="002033A4"/>
    <w:rsid w:val="0021035A"/>
    <w:rsid w:val="002104D9"/>
    <w:rsid w:val="0021235B"/>
    <w:rsid w:val="00213D22"/>
    <w:rsid w:val="00214D1E"/>
    <w:rsid w:val="002236A8"/>
    <w:rsid w:val="002336FB"/>
    <w:rsid w:val="002606FF"/>
    <w:rsid w:val="0027085D"/>
    <w:rsid w:val="0028261E"/>
    <w:rsid w:val="002A2B5B"/>
    <w:rsid w:val="002A70B3"/>
    <w:rsid w:val="002A73CC"/>
    <w:rsid w:val="002B37B3"/>
    <w:rsid w:val="002B6F41"/>
    <w:rsid w:val="002B712C"/>
    <w:rsid w:val="002D4AFF"/>
    <w:rsid w:val="002D58A3"/>
    <w:rsid w:val="002D6DFA"/>
    <w:rsid w:val="002E6A47"/>
    <w:rsid w:val="002E7C88"/>
    <w:rsid w:val="002F0766"/>
    <w:rsid w:val="002F519C"/>
    <w:rsid w:val="002F69CC"/>
    <w:rsid w:val="00307180"/>
    <w:rsid w:val="00313EDE"/>
    <w:rsid w:val="00321A64"/>
    <w:rsid w:val="00325C73"/>
    <w:rsid w:val="003300DD"/>
    <w:rsid w:val="00331739"/>
    <w:rsid w:val="0034299C"/>
    <w:rsid w:val="0034377B"/>
    <w:rsid w:val="00350122"/>
    <w:rsid w:val="0035056D"/>
    <w:rsid w:val="003568BF"/>
    <w:rsid w:val="00372631"/>
    <w:rsid w:val="003743C5"/>
    <w:rsid w:val="003A0892"/>
    <w:rsid w:val="003A2906"/>
    <w:rsid w:val="003A4B38"/>
    <w:rsid w:val="003B5EA7"/>
    <w:rsid w:val="003C4640"/>
    <w:rsid w:val="003D1AC4"/>
    <w:rsid w:val="003E2818"/>
    <w:rsid w:val="003E4840"/>
    <w:rsid w:val="003E7C48"/>
    <w:rsid w:val="003F5679"/>
    <w:rsid w:val="00404912"/>
    <w:rsid w:val="00407631"/>
    <w:rsid w:val="004120DA"/>
    <w:rsid w:val="00437942"/>
    <w:rsid w:val="00443062"/>
    <w:rsid w:val="004552B4"/>
    <w:rsid w:val="004567DD"/>
    <w:rsid w:val="00464EB6"/>
    <w:rsid w:val="00466421"/>
    <w:rsid w:val="00473EB2"/>
    <w:rsid w:val="00483B01"/>
    <w:rsid w:val="004877FE"/>
    <w:rsid w:val="00496341"/>
    <w:rsid w:val="004B55A8"/>
    <w:rsid w:val="004B581C"/>
    <w:rsid w:val="004C3129"/>
    <w:rsid w:val="004C3BCF"/>
    <w:rsid w:val="004C552E"/>
    <w:rsid w:val="004C6D10"/>
    <w:rsid w:val="004D0F52"/>
    <w:rsid w:val="004D570A"/>
    <w:rsid w:val="004E42E0"/>
    <w:rsid w:val="004E4892"/>
    <w:rsid w:val="004E649B"/>
    <w:rsid w:val="004E663D"/>
    <w:rsid w:val="005068C5"/>
    <w:rsid w:val="00507212"/>
    <w:rsid w:val="005172A7"/>
    <w:rsid w:val="00521128"/>
    <w:rsid w:val="005246A8"/>
    <w:rsid w:val="0052628A"/>
    <w:rsid w:val="005262D4"/>
    <w:rsid w:val="00526530"/>
    <w:rsid w:val="005273D7"/>
    <w:rsid w:val="00527D7A"/>
    <w:rsid w:val="00531D8F"/>
    <w:rsid w:val="00532BD9"/>
    <w:rsid w:val="00533EE6"/>
    <w:rsid w:val="00541EEF"/>
    <w:rsid w:val="00547AED"/>
    <w:rsid w:val="00547C2A"/>
    <w:rsid w:val="00553488"/>
    <w:rsid w:val="00557DB9"/>
    <w:rsid w:val="00561D50"/>
    <w:rsid w:val="005818FC"/>
    <w:rsid w:val="0058475B"/>
    <w:rsid w:val="005849D9"/>
    <w:rsid w:val="005928F0"/>
    <w:rsid w:val="0059311A"/>
    <w:rsid w:val="00593FF7"/>
    <w:rsid w:val="00596818"/>
    <w:rsid w:val="005A2B2C"/>
    <w:rsid w:val="005A38E6"/>
    <w:rsid w:val="005A42F3"/>
    <w:rsid w:val="005B12D0"/>
    <w:rsid w:val="005B251C"/>
    <w:rsid w:val="005B2B42"/>
    <w:rsid w:val="005B31BB"/>
    <w:rsid w:val="005B647C"/>
    <w:rsid w:val="005C30A9"/>
    <w:rsid w:val="005C5154"/>
    <w:rsid w:val="005C6299"/>
    <w:rsid w:val="005D0550"/>
    <w:rsid w:val="005E2C5E"/>
    <w:rsid w:val="00603F17"/>
    <w:rsid w:val="00605B2E"/>
    <w:rsid w:val="00607B21"/>
    <w:rsid w:val="00611B48"/>
    <w:rsid w:val="00631C78"/>
    <w:rsid w:val="00636C51"/>
    <w:rsid w:val="0064227B"/>
    <w:rsid w:val="0064762E"/>
    <w:rsid w:val="006503B6"/>
    <w:rsid w:val="0065370C"/>
    <w:rsid w:val="006558C0"/>
    <w:rsid w:val="00663FC2"/>
    <w:rsid w:val="006643E0"/>
    <w:rsid w:val="00685257"/>
    <w:rsid w:val="00687CFC"/>
    <w:rsid w:val="00695D7B"/>
    <w:rsid w:val="0069797C"/>
    <w:rsid w:val="006A45A6"/>
    <w:rsid w:val="006B1AFD"/>
    <w:rsid w:val="006B2DA2"/>
    <w:rsid w:val="006B4523"/>
    <w:rsid w:val="006C05A3"/>
    <w:rsid w:val="006D0495"/>
    <w:rsid w:val="006D1C26"/>
    <w:rsid w:val="006D2127"/>
    <w:rsid w:val="006D4C7B"/>
    <w:rsid w:val="006F1B5D"/>
    <w:rsid w:val="006F6EC1"/>
    <w:rsid w:val="00702988"/>
    <w:rsid w:val="007160EC"/>
    <w:rsid w:val="007370A3"/>
    <w:rsid w:val="007422E3"/>
    <w:rsid w:val="0074353C"/>
    <w:rsid w:val="00765096"/>
    <w:rsid w:val="00767670"/>
    <w:rsid w:val="00770824"/>
    <w:rsid w:val="00772B13"/>
    <w:rsid w:val="00784383"/>
    <w:rsid w:val="00793A26"/>
    <w:rsid w:val="007961E1"/>
    <w:rsid w:val="00797DFE"/>
    <w:rsid w:val="007A0884"/>
    <w:rsid w:val="007A4314"/>
    <w:rsid w:val="007A6862"/>
    <w:rsid w:val="007B0E4E"/>
    <w:rsid w:val="007B1441"/>
    <w:rsid w:val="007B35E7"/>
    <w:rsid w:val="007C0324"/>
    <w:rsid w:val="007D3410"/>
    <w:rsid w:val="007E250F"/>
    <w:rsid w:val="007F24DD"/>
    <w:rsid w:val="0080064B"/>
    <w:rsid w:val="00805911"/>
    <w:rsid w:val="00807A4B"/>
    <w:rsid w:val="00810A50"/>
    <w:rsid w:val="008132A2"/>
    <w:rsid w:val="00814043"/>
    <w:rsid w:val="0081497A"/>
    <w:rsid w:val="00821393"/>
    <w:rsid w:val="008221D5"/>
    <w:rsid w:val="008417E3"/>
    <w:rsid w:val="008430E8"/>
    <w:rsid w:val="008542A2"/>
    <w:rsid w:val="008573B3"/>
    <w:rsid w:val="00860D2A"/>
    <w:rsid w:val="008617E4"/>
    <w:rsid w:val="00871150"/>
    <w:rsid w:val="00875872"/>
    <w:rsid w:val="00877BBA"/>
    <w:rsid w:val="00887279"/>
    <w:rsid w:val="00890D90"/>
    <w:rsid w:val="0089170B"/>
    <w:rsid w:val="0089378F"/>
    <w:rsid w:val="00896A2C"/>
    <w:rsid w:val="008A4B92"/>
    <w:rsid w:val="008A507A"/>
    <w:rsid w:val="008A6011"/>
    <w:rsid w:val="008B0345"/>
    <w:rsid w:val="008B1FCD"/>
    <w:rsid w:val="008B2DD2"/>
    <w:rsid w:val="008B7487"/>
    <w:rsid w:val="008C4712"/>
    <w:rsid w:val="008D1384"/>
    <w:rsid w:val="008E0724"/>
    <w:rsid w:val="008E0E3C"/>
    <w:rsid w:val="008E1268"/>
    <w:rsid w:val="008F2FA9"/>
    <w:rsid w:val="00901C9B"/>
    <w:rsid w:val="00907DF8"/>
    <w:rsid w:val="009108FF"/>
    <w:rsid w:val="00911B67"/>
    <w:rsid w:val="0091556F"/>
    <w:rsid w:val="00915F6F"/>
    <w:rsid w:val="00920D9C"/>
    <w:rsid w:val="0092190C"/>
    <w:rsid w:val="00925938"/>
    <w:rsid w:val="0092719D"/>
    <w:rsid w:val="0093505B"/>
    <w:rsid w:val="00940FCE"/>
    <w:rsid w:val="00942DCD"/>
    <w:rsid w:val="0094328A"/>
    <w:rsid w:val="009471AA"/>
    <w:rsid w:val="00952E3B"/>
    <w:rsid w:val="00962BE0"/>
    <w:rsid w:val="0096374F"/>
    <w:rsid w:val="00967ECB"/>
    <w:rsid w:val="00973A64"/>
    <w:rsid w:val="0097415D"/>
    <w:rsid w:val="009800E1"/>
    <w:rsid w:val="00980F3D"/>
    <w:rsid w:val="0098151F"/>
    <w:rsid w:val="0098240C"/>
    <w:rsid w:val="0098299C"/>
    <w:rsid w:val="009876FA"/>
    <w:rsid w:val="0099235A"/>
    <w:rsid w:val="009A2B46"/>
    <w:rsid w:val="009A3760"/>
    <w:rsid w:val="009A5ACC"/>
    <w:rsid w:val="009B2846"/>
    <w:rsid w:val="009C0B72"/>
    <w:rsid w:val="009D2A0D"/>
    <w:rsid w:val="009E0DF1"/>
    <w:rsid w:val="009E357D"/>
    <w:rsid w:val="009E3C1A"/>
    <w:rsid w:val="009E56F0"/>
    <w:rsid w:val="009E713E"/>
    <w:rsid w:val="009F5467"/>
    <w:rsid w:val="00A05340"/>
    <w:rsid w:val="00A21560"/>
    <w:rsid w:val="00A27EA6"/>
    <w:rsid w:val="00A3202D"/>
    <w:rsid w:val="00A328F1"/>
    <w:rsid w:val="00A36AB9"/>
    <w:rsid w:val="00A36F3C"/>
    <w:rsid w:val="00A45C12"/>
    <w:rsid w:val="00A62E37"/>
    <w:rsid w:val="00A65F49"/>
    <w:rsid w:val="00A67ECE"/>
    <w:rsid w:val="00A763EB"/>
    <w:rsid w:val="00A80374"/>
    <w:rsid w:val="00A82A0A"/>
    <w:rsid w:val="00A90CF2"/>
    <w:rsid w:val="00A948F3"/>
    <w:rsid w:val="00AA4B28"/>
    <w:rsid w:val="00AA5220"/>
    <w:rsid w:val="00AA6ACD"/>
    <w:rsid w:val="00AC480B"/>
    <w:rsid w:val="00AC6654"/>
    <w:rsid w:val="00AD6281"/>
    <w:rsid w:val="00AE3674"/>
    <w:rsid w:val="00AE4729"/>
    <w:rsid w:val="00AF38D1"/>
    <w:rsid w:val="00AF59BC"/>
    <w:rsid w:val="00AF76F5"/>
    <w:rsid w:val="00B11772"/>
    <w:rsid w:val="00B15DC2"/>
    <w:rsid w:val="00B16BEC"/>
    <w:rsid w:val="00B212C4"/>
    <w:rsid w:val="00B214E3"/>
    <w:rsid w:val="00B23A94"/>
    <w:rsid w:val="00B24217"/>
    <w:rsid w:val="00B37270"/>
    <w:rsid w:val="00B462C0"/>
    <w:rsid w:val="00B65349"/>
    <w:rsid w:val="00B66C63"/>
    <w:rsid w:val="00B70D3D"/>
    <w:rsid w:val="00B70FBD"/>
    <w:rsid w:val="00B73026"/>
    <w:rsid w:val="00B739DD"/>
    <w:rsid w:val="00B77630"/>
    <w:rsid w:val="00B86986"/>
    <w:rsid w:val="00BB056F"/>
    <w:rsid w:val="00BB6FC7"/>
    <w:rsid w:val="00BC3E9D"/>
    <w:rsid w:val="00BD7E76"/>
    <w:rsid w:val="00BE6CB3"/>
    <w:rsid w:val="00BF6BBA"/>
    <w:rsid w:val="00C04527"/>
    <w:rsid w:val="00C05394"/>
    <w:rsid w:val="00C06128"/>
    <w:rsid w:val="00C104E0"/>
    <w:rsid w:val="00C11934"/>
    <w:rsid w:val="00C148F0"/>
    <w:rsid w:val="00C16B75"/>
    <w:rsid w:val="00C25AB0"/>
    <w:rsid w:val="00C30B09"/>
    <w:rsid w:val="00C31F8C"/>
    <w:rsid w:val="00C34E7C"/>
    <w:rsid w:val="00C35C3B"/>
    <w:rsid w:val="00C437AF"/>
    <w:rsid w:val="00C4513F"/>
    <w:rsid w:val="00C474DD"/>
    <w:rsid w:val="00C517A9"/>
    <w:rsid w:val="00C70A05"/>
    <w:rsid w:val="00C7408B"/>
    <w:rsid w:val="00C817FD"/>
    <w:rsid w:val="00C82E4E"/>
    <w:rsid w:val="00C837E5"/>
    <w:rsid w:val="00C84302"/>
    <w:rsid w:val="00C8589D"/>
    <w:rsid w:val="00C858D0"/>
    <w:rsid w:val="00C85DBE"/>
    <w:rsid w:val="00C86D18"/>
    <w:rsid w:val="00C91F46"/>
    <w:rsid w:val="00C927C0"/>
    <w:rsid w:val="00CA58F8"/>
    <w:rsid w:val="00CB1275"/>
    <w:rsid w:val="00CE0A8E"/>
    <w:rsid w:val="00CE2B86"/>
    <w:rsid w:val="00CE6F92"/>
    <w:rsid w:val="00D0117B"/>
    <w:rsid w:val="00D0321C"/>
    <w:rsid w:val="00D11895"/>
    <w:rsid w:val="00D12207"/>
    <w:rsid w:val="00D127BE"/>
    <w:rsid w:val="00D21F2A"/>
    <w:rsid w:val="00D31AC0"/>
    <w:rsid w:val="00D338A6"/>
    <w:rsid w:val="00D35183"/>
    <w:rsid w:val="00D36784"/>
    <w:rsid w:val="00D53ACC"/>
    <w:rsid w:val="00D55C34"/>
    <w:rsid w:val="00D72849"/>
    <w:rsid w:val="00D770EA"/>
    <w:rsid w:val="00D8265D"/>
    <w:rsid w:val="00D82808"/>
    <w:rsid w:val="00D8562E"/>
    <w:rsid w:val="00D9741E"/>
    <w:rsid w:val="00DA37DF"/>
    <w:rsid w:val="00DB02E2"/>
    <w:rsid w:val="00DB6CA1"/>
    <w:rsid w:val="00DC651F"/>
    <w:rsid w:val="00DD545E"/>
    <w:rsid w:val="00DE0B88"/>
    <w:rsid w:val="00DE0C2A"/>
    <w:rsid w:val="00DE137A"/>
    <w:rsid w:val="00DE3106"/>
    <w:rsid w:val="00DE7008"/>
    <w:rsid w:val="00DF2FEB"/>
    <w:rsid w:val="00E03A3D"/>
    <w:rsid w:val="00E07CD4"/>
    <w:rsid w:val="00E15EC0"/>
    <w:rsid w:val="00E17A4F"/>
    <w:rsid w:val="00E21259"/>
    <w:rsid w:val="00E24529"/>
    <w:rsid w:val="00E32301"/>
    <w:rsid w:val="00E349BD"/>
    <w:rsid w:val="00E34EA7"/>
    <w:rsid w:val="00E379CD"/>
    <w:rsid w:val="00E37A2C"/>
    <w:rsid w:val="00E45E2A"/>
    <w:rsid w:val="00E468D4"/>
    <w:rsid w:val="00E51F63"/>
    <w:rsid w:val="00E5289D"/>
    <w:rsid w:val="00E5328A"/>
    <w:rsid w:val="00E549ED"/>
    <w:rsid w:val="00E70880"/>
    <w:rsid w:val="00E770D7"/>
    <w:rsid w:val="00E83E08"/>
    <w:rsid w:val="00E874C9"/>
    <w:rsid w:val="00E901CE"/>
    <w:rsid w:val="00E92BA6"/>
    <w:rsid w:val="00EA206B"/>
    <w:rsid w:val="00EA2DF0"/>
    <w:rsid w:val="00EB3145"/>
    <w:rsid w:val="00EB5943"/>
    <w:rsid w:val="00EB5F3A"/>
    <w:rsid w:val="00ED6F0E"/>
    <w:rsid w:val="00EE06F3"/>
    <w:rsid w:val="00EE4303"/>
    <w:rsid w:val="00EF52AB"/>
    <w:rsid w:val="00F03598"/>
    <w:rsid w:val="00F07212"/>
    <w:rsid w:val="00F10927"/>
    <w:rsid w:val="00F22B0C"/>
    <w:rsid w:val="00F32F5A"/>
    <w:rsid w:val="00F447A2"/>
    <w:rsid w:val="00F50F2E"/>
    <w:rsid w:val="00F52D42"/>
    <w:rsid w:val="00F60E82"/>
    <w:rsid w:val="00F6248C"/>
    <w:rsid w:val="00F7299A"/>
    <w:rsid w:val="00F7584F"/>
    <w:rsid w:val="00F82C26"/>
    <w:rsid w:val="00F85F54"/>
    <w:rsid w:val="00F86D10"/>
    <w:rsid w:val="00F915BF"/>
    <w:rsid w:val="00F95B44"/>
    <w:rsid w:val="00FA0061"/>
    <w:rsid w:val="00FA6298"/>
    <w:rsid w:val="00FA6F2C"/>
    <w:rsid w:val="00FB202A"/>
    <w:rsid w:val="00FB27ED"/>
    <w:rsid w:val="00FB2882"/>
    <w:rsid w:val="00FB56DF"/>
    <w:rsid w:val="00FC20CA"/>
    <w:rsid w:val="00FC4532"/>
    <w:rsid w:val="00FD04EA"/>
    <w:rsid w:val="00FD417D"/>
    <w:rsid w:val="00FD4349"/>
    <w:rsid w:val="00FD63D9"/>
    <w:rsid w:val="00FE227A"/>
    <w:rsid w:val="00FE33C4"/>
    <w:rsid w:val="00FE4DD0"/>
    <w:rsid w:val="00FE76EF"/>
    <w:rsid w:val="00FF140E"/>
    <w:rsid w:val="00FF25DB"/>
    <w:rsid w:val="00FF4FC2"/>
    <w:rsid w:val="00FF7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012C2"/>
  <w15:docId w15:val="{2F2640FD-5F0A-4BF9-B415-AF58F2B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6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ar"/>
    <w:uiPriority w:val="9"/>
    <w:qFormat/>
    <w:rsid w:val="006967B5"/>
    <w:pPr>
      <w:keepNext/>
      <w:keepLines/>
      <w:numPr>
        <w:numId w:val="1"/>
      </w:numPr>
      <w:spacing w:after="240"/>
      <w:outlineLvl w:val="0"/>
    </w:pPr>
    <w:rPr>
      <w:rFonts w:ascii="Calibri" w:eastAsiaTheme="majorEastAsia" w:hAnsi="Calibri" w:cstheme="majorBidi"/>
      <w:color w:val="2B764D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link w:val="Ttulo2Car"/>
    <w:autoRedefine/>
    <w:uiPriority w:val="9"/>
    <w:unhideWhenUsed/>
    <w:qFormat/>
    <w:rsid w:val="00E5289D"/>
    <w:pPr>
      <w:keepNext/>
      <w:keepLines/>
      <w:spacing w:after="120" w:line="264" w:lineRule="auto"/>
      <w:outlineLvl w:val="1"/>
    </w:pPr>
    <w:rPr>
      <w:rFonts w:ascii="Calibri" w:eastAsiaTheme="majorEastAsia" w:hAnsi="Calibri" w:cstheme="majorBidi"/>
      <w:color w:val="2B764D"/>
      <w:sz w:val="24"/>
      <w:szCs w:val="26"/>
      <w:lang w:val="en-GB"/>
    </w:rPr>
  </w:style>
  <w:style w:type="paragraph" w:customStyle="1" w:styleId="Heading31">
    <w:name w:val="Heading 31"/>
    <w:basedOn w:val="Normal"/>
    <w:next w:val="Normal"/>
    <w:link w:val="Ttulo3Car"/>
    <w:qFormat/>
    <w:rsid w:val="00900D4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Normal"/>
    <w:link w:val="Ttulo4Car"/>
    <w:qFormat/>
    <w:rsid w:val="00E5289D"/>
    <w:pPr>
      <w:keepNext/>
      <w:keepLines/>
      <w:numPr>
        <w:ilvl w:val="3"/>
        <w:numId w:val="1"/>
      </w:numPr>
      <w:spacing w:before="600" w:after="240" w:line="264" w:lineRule="auto"/>
      <w:outlineLvl w:val="3"/>
    </w:pPr>
    <w:rPr>
      <w:rFonts w:eastAsiaTheme="majorEastAsia" w:cstheme="majorBidi"/>
      <w:b/>
      <w:bCs/>
      <w:iCs/>
      <w:color w:val="2B764D"/>
      <w:sz w:val="28"/>
    </w:rPr>
  </w:style>
  <w:style w:type="paragraph" w:customStyle="1" w:styleId="Heading51">
    <w:name w:val="Heading 51"/>
    <w:basedOn w:val="Normal"/>
    <w:next w:val="Normal"/>
    <w:link w:val="Ttulo5Car"/>
    <w:qFormat/>
    <w:rsid w:val="00900D4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Heading61">
    <w:name w:val="Heading 61"/>
    <w:basedOn w:val="Normal"/>
    <w:next w:val="Normal"/>
    <w:link w:val="Ttulo6Car"/>
    <w:qFormat/>
    <w:rsid w:val="00900D4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customStyle="1" w:styleId="Heading71">
    <w:name w:val="Heading 71"/>
    <w:basedOn w:val="Normal"/>
    <w:next w:val="Normal"/>
    <w:link w:val="Ttulo7Car"/>
    <w:qFormat/>
    <w:rsid w:val="00900D4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1">
    <w:name w:val="Heading 81"/>
    <w:basedOn w:val="Normal"/>
    <w:next w:val="Normal"/>
    <w:link w:val="Ttulo8Car"/>
    <w:qFormat/>
    <w:rsid w:val="00900D4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customStyle="1" w:styleId="Heading91">
    <w:name w:val="Heading 91"/>
    <w:basedOn w:val="Normal"/>
    <w:next w:val="Normal"/>
    <w:link w:val="Ttulo9Car"/>
    <w:qFormat/>
    <w:rsid w:val="00900D4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E755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E755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E7554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755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DefaultParagraphFont"/>
    <w:link w:val="Header1"/>
    <w:uiPriority w:val="99"/>
    <w:qFormat/>
    <w:rsid w:val="00617441"/>
  </w:style>
  <w:style w:type="character" w:customStyle="1" w:styleId="PiedepginaCar">
    <w:name w:val="Pie de página Car"/>
    <w:basedOn w:val="DefaultParagraphFont"/>
    <w:link w:val="Footer1"/>
    <w:uiPriority w:val="99"/>
    <w:qFormat/>
    <w:rsid w:val="00617441"/>
  </w:style>
  <w:style w:type="character" w:customStyle="1" w:styleId="apple-converted-space">
    <w:name w:val="apple-converted-space"/>
    <w:basedOn w:val="DefaultParagraphFont"/>
    <w:qFormat/>
    <w:rsid w:val="00F23F9A"/>
  </w:style>
  <w:style w:type="character" w:styleId="Strong">
    <w:name w:val="Strong"/>
    <w:basedOn w:val="DefaultParagraphFont"/>
    <w:uiPriority w:val="22"/>
    <w:qFormat/>
    <w:rsid w:val="00C3532F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4117AE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AC3CE9"/>
    <w:rPr>
      <w:rFonts w:eastAsiaTheme="minorEastAsia"/>
      <w:lang w:eastAsia="ca-ES"/>
    </w:rPr>
  </w:style>
  <w:style w:type="character" w:customStyle="1" w:styleId="Ttulo1Car">
    <w:name w:val="Título 1 Car"/>
    <w:basedOn w:val="DefaultParagraphFont"/>
    <w:link w:val="Heading11"/>
    <w:uiPriority w:val="9"/>
    <w:qFormat/>
    <w:rsid w:val="006967B5"/>
    <w:rPr>
      <w:rFonts w:ascii="Calibri" w:eastAsiaTheme="majorEastAsia" w:hAnsi="Calibri" w:cstheme="majorBidi"/>
      <w:color w:val="2B764D"/>
      <w:sz w:val="32"/>
      <w:szCs w:val="32"/>
      <w:lang w:val="en-US"/>
    </w:rPr>
  </w:style>
  <w:style w:type="character" w:customStyle="1" w:styleId="Ttulo2Car">
    <w:name w:val="Título 2 Car"/>
    <w:basedOn w:val="DefaultParagraphFont"/>
    <w:link w:val="Heading21"/>
    <w:uiPriority w:val="9"/>
    <w:qFormat/>
    <w:rsid w:val="00E5289D"/>
    <w:rPr>
      <w:rFonts w:ascii="Calibri" w:eastAsiaTheme="majorEastAsia" w:hAnsi="Calibri" w:cstheme="majorBidi"/>
      <w:color w:val="2B764D"/>
      <w:sz w:val="24"/>
      <w:szCs w:val="26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546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546FB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D546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4AE6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qFormat/>
    <w:rsid w:val="00F72EFF"/>
  </w:style>
  <w:style w:type="character" w:customStyle="1" w:styleId="Ttulo3Car">
    <w:name w:val="Título 3 Car"/>
    <w:basedOn w:val="DefaultParagraphFont"/>
    <w:link w:val="Heading31"/>
    <w:qFormat/>
    <w:rsid w:val="00900D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DefaultParagraphFont"/>
    <w:link w:val="Heading41"/>
    <w:qFormat/>
    <w:rsid w:val="00E5289D"/>
    <w:rPr>
      <w:rFonts w:eastAsiaTheme="majorEastAsia" w:cstheme="majorBidi"/>
      <w:b/>
      <w:bCs/>
      <w:iCs/>
      <w:color w:val="2B764D"/>
      <w:sz w:val="28"/>
    </w:rPr>
  </w:style>
  <w:style w:type="character" w:customStyle="1" w:styleId="Ttulo5Car">
    <w:name w:val="Título 5 Car"/>
    <w:basedOn w:val="DefaultParagraphFont"/>
    <w:link w:val="Heading51"/>
    <w:qFormat/>
    <w:rsid w:val="00900D4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ar">
    <w:name w:val="Título 6 Car"/>
    <w:basedOn w:val="DefaultParagraphFont"/>
    <w:link w:val="Heading61"/>
    <w:qFormat/>
    <w:rsid w:val="00900D4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ar">
    <w:name w:val="Título 7 Car"/>
    <w:basedOn w:val="DefaultParagraphFont"/>
    <w:link w:val="Heading71"/>
    <w:qFormat/>
    <w:rsid w:val="00900D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DefaultParagraphFont"/>
    <w:link w:val="Heading81"/>
    <w:qFormat/>
    <w:rsid w:val="00900D46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tulo9Car">
    <w:name w:val="Título 9 Car"/>
    <w:basedOn w:val="DefaultParagraphFont"/>
    <w:link w:val="Heading91"/>
    <w:qFormat/>
    <w:rsid w:val="00900D4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st">
    <w:name w:val="st"/>
    <w:basedOn w:val="DefaultParagraphFont"/>
    <w:qFormat/>
    <w:rsid w:val="002B2EB3"/>
  </w:style>
  <w:style w:type="character" w:customStyle="1" w:styleId="ListLabel1">
    <w:name w:val="ListLabel 1"/>
    <w:qFormat/>
    <w:rsid w:val="00B86986"/>
    <w:rPr>
      <w:rFonts w:cs="Courier New"/>
    </w:rPr>
  </w:style>
  <w:style w:type="character" w:customStyle="1" w:styleId="ListLabel2">
    <w:name w:val="ListLabel 2"/>
    <w:qFormat/>
    <w:rsid w:val="00B86986"/>
    <w:rPr>
      <w:rFonts w:cs="Courier New"/>
    </w:rPr>
  </w:style>
  <w:style w:type="character" w:customStyle="1" w:styleId="ListLabel3">
    <w:name w:val="ListLabel 3"/>
    <w:qFormat/>
    <w:rsid w:val="00B86986"/>
    <w:rPr>
      <w:rFonts w:cs="Courier New"/>
    </w:rPr>
  </w:style>
  <w:style w:type="character" w:customStyle="1" w:styleId="ListLabel4">
    <w:name w:val="ListLabel 4"/>
    <w:qFormat/>
    <w:rsid w:val="00B86986"/>
    <w:rPr>
      <w:rFonts w:cs="Courier New"/>
    </w:rPr>
  </w:style>
  <w:style w:type="character" w:customStyle="1" w:styleId="ListLabel5">
    <w:name w:val="ListLabel 5"/>
    <w:qFormat/>
    <w:rsid w:val="00B86986"/>
    <w:rPr>
      <w:rFonts w:cs="Courier New"/>
    </w:rPr>
  </w:style>
  <w:style w:type="character" w:customStyle="1" w:styleId="ListLabel6">
    <w:name w:val="ListLabel 6"/>
    <w:qFormat/>
    <w:rsid w:val="00B86986"/>
    <w:rPr>
      <w:rFonts w:cs="Courier New"/>
    </w:rPr>
  </w:style>
  <w:style w:type="character" w:customStyle="1" w:styleId="ListLabel7">
    <w:name w:val="ListLabel 7"/>
    <w:qFormat/>
    <w:rsid w:val="00B86986"/>
    <w:rPr>
      <w:rFonts w:cs="Courier New"/>
    </w:rPr>
  </w:style>
  <w:style w:type="character" w:customStyle="1" w:styleId="ListLabel8">
    <w:name w:val="ListLabel 8"/>
    <w:qFormat/>
    <w:rsid w:val="00B86986"/>
    <w:rPr>
      <w:rFonts w:cs="Courier New"/>
    </w:rPr>
  </w:style>
  <w:style w:type="character" w:customStyle="1" w:styleId="FootnoteCharacters">
    <w:name w:val="Footnote Characters"/>
    <w:qFormat/>
    <w:rsid w:val="00B86986"/>
  </w:style>
  <w:style w:type="character" w:customStyle="1" w:styleId="FootnoteAnchor">
    <w:name w:val="Footnote Anchor"/>
    <w:rsid w:val="00B86986"/>
    <w:rPr>
      <w:vertAlign w:val="superscript"/>
    </w:rPr>
  </w:style>
  <w:style w:type="character" w:customStyle="1" w:styleId="EndnoteAnchor">
    <w:name w:val="Endnote Anchor"/>
    <w:rsid w:val="00B86986"/>
    <w:rPr>
      <w:vertAlign w:val="superscript"/>
    </w:rPr>
  </w:style>
  <w:style w:type="character" w:customStyle="1" w:styleId="EndnoteCharacters">
    <w:name w:val="Endnote Characters"/>
    <w:qFormat/>
    <w:rsid w:val="00B86986"/>
  </w:style>
  <w:style w:type="paragraph" w:customStyle="1" w:styleId="Heading">
    <w:name w:val="Heading"/>
    <w:basedOn w:val="Normal"/>
    <w:next w:val="BodyText"/>
    <w:qFormat/>
    <w:rsid w:val="00B8698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B86986"/>
    <w:pPr>
      <w:spacing w:after="140" w:line="288" w:lineRule="auto"/>
    </w:pPr>
  </w:style>
  <w:style w:type="paragraph" w:styleId="List">
    <w:name w:val="List"/>
    <w:basedOn w:val="BodyText"/>
    <w:rsid w:val="00B86986"/>
  </w:style>
  <w:style w:type="paragraph" w:customStyle="1" w:styleId="Caption1">
    <w:name w:val="Caption1"/>
    <w:basedOn w:val="Normal"/>
    <w:qFormat/>
    <w:rsid w:val="00B869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B86986"/>
    <w:pPr>
      <w:suppressLineNumbers/>
    </w:pPr>
  </w:style>
  <w:style w:type="paragraph" w:styleId="ListParagraph">
    <w:name w:val="List Paragraph"/>
    <w:basedOn w:val="Normal"/>
    <w:qFormat/>
    <w:rsid w:val="002A389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E755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E7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75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link w:val="EncabezadoCar"/>
    <w:uiPriority w:val="99"/>
    <w:unhideWhenUsed/>
    <w:rsid w:val="0061744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1">
    <w:name w:val="Footer1"/>
    <w:basedOn w:val="Normal"/>
    <w:link w:val="PiedepginaCar"/>
    <w:uiPriority w:val="99"/>
    <w:unhideWhenUsed/>
    <w:rsid w:val="0061744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000C4A"/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paragraph" w:customStyle="1" w:styleId="Pa17">
    <w:name w:val="Pa17"/>
    <w:basedOn w:val="Default"/>
    <w:next w:val="Default"/>
    <w:uiPriority w:val="99"/>
    <w:qFormat/>
    <w:rsid w:val="00000C4A"/>
    <w:pPr>
      <w:spacing w:line="201" w:lineRule="atLeast"/>
    </w:pPr>
    <w:rPr>
      <w:rFonts w:ascii="Arial" w:hAnsi="Arial" w:cs="Arial"/>
      <w:color w:val="00000A"/>
    </w:rPr>
  </w:style>
  <w:style w:type="paragraph" w:customStyle="1" w:styleId="Pa8">
    <w:name w:val="Pa8"/>
    <w:basedOn w:val="Default"/>
    <w:next w:val="Default"/>
    <w:uiPriority w:val="99"/>
    <w:qFormat/>
    <w:rsid w:val="00000C4A"/>
    <w:pPr>
      <w:spacing w:line="201" w:lineRule="atLeast"/>
    </w:pPr>
    <w:rPr>
      <w:rFonts w:ascii="Arial" w:hAnsi="Arial" w:cs="Arial"/>
      <w:color w:val="00000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411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paragraph" w:styleId="NoSpacing">
    <w:name w:val="No Spacing"/>
    <w:link w:val="NoSpacingChar"/>
    <w:uiPriority w:val="1"/>
    <w:qFormat/>
    <w:rsid w:val="00AC3CE9"/>
    <w:rPr>
      <w:rFonts w:ascii="Calibri" w:eastAsiaTheme="minorEastAsia" w:hAnsi="Calibri"/>
      <w:lang w:eastAsia="ca-ES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546FB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54A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OCHeading">
    <w:name w:val="TOC Heading"/>
    <w:basedOn w:val="Heading11"/>
    <w:next w:val="Normal"/>
    <w:uiPriority w:val="39"/>
    <w:unhideWhenUsed/>
    <w:qFormat/>
    <w:rsid w:val="009E2EC2"/>
    <w:pPr>
      <w:numPr>
        <w:numId w:val="0"/>
      </w:numPr>
      <w:spacing w:before="480" w:after="0"/>
    </w:pPr>
    <w:rPr>
      <w:rFonts w:asciiTheme="majorHAnsi" w:hAnsiTheme="majorHAnsi"/>
      <w:b/>
      <w:bCs/>
      <w:sz w:val="28"/>
      <w:szCs w:val="28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9E2EC2"/>
    <w:pPr>
      <w:spacing w:after="0"/>
      <w:ind w:left="220"/>
    </w:pPr>
    <w:rPr>
      <w:smallCaps/>
    </w:rPr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9E2EC2"/>
    <w:pPr>
      <w:spacing w:before="120" w:after="0"/>
    </w:pPr>
    <w:rPr>
      <w:b/>
      <w:caps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9E2EC2"/>
    <w:pPr>
      <w:spacing w:after="0"/>
      <w:ind w:left="440"/>
    </w:pPr>
    <w:rPr>
      <w:i/>
    </w:rPr>
  </w:style>
  <w:style w:type="paragraph" w:customStyle="1" w:styleId="TOC41">
    <w:name w:val="TOC 41"/>
    <w:basedOn w:val="Normal"/>
    <w:next w:val="Normal"/>
    <w:autoRedefine/>
    <w:semiHidden/>
    <w:unhideWhenUsed/>
    <w:rsid w:val="001A4F17"/>
    <w:pPr>
      <w:spacing w:after="0"/>
      <w:ind w:left="660"/>
    </w:pPr>
    <w:rPr>
      <w:sz w:val="18"/>
      <w:szCs w:val="18"/>
    </w:rPr>
  </w:style>
  <w:style w:type="paragraph" w:customStyle="1" w:styleId="TOC51">
    <w:name w:val="TOC 51"/>
    <w:basedOn w:val="Normal"/>
    <w:next w:val="Normal"/>
    <w:autoRedefine/>
    <w:semiHidden/>
    <w:unhideWhenUsed/>
    <w:rsid w:val="001A4F17"/>
    <w:pPr>
      <w:spacing w:after="0"/>
      <w:ind w:left="880"/>
    </w:pPr>
    <w:rPr>
      <w:sz w:val="18"/>
      <w:szCs w:val="18"/>
    </w:rPr>
  </w:style>
  <w:style w:type="paragraph" w:customStyle="1" w:styleId="TOC61">
    <w:name w:val="TOC 61"/>
    <w:basedOn w:val="Normal"/>
    <w:next w:val="Normal"/>
    <w:autoRedefine/>
    <w:semiHidden/>
    <w:unhideWhenUsed/>
    <w:rsid w:val="001A4F17"/>
    <w:pPr>
      <w:spacing w:after="0"/>
      <w:ind w:left="1100"/>
    </w:pPr>
    <w:rPr>
      <w:sz w:val="18"/>
      <w:szCs w:val="18"/>
    </w:rPr>
  </w:style>
  <w:style w:type="paragraph" w:customStyle="1" w:styleId="TOC71">
    <w:name w:val="TOC 71"/>
    <w:basedOn w:val="Normal"/>
    <w:next w:val="Normal"/>
    <w:autoRedefine/>
    <w:semiHidden/>
    <w:unhideWhenUsed/>
    <w:rsid w:val="001A4F17"/>
    <w:pPr>
      <w:spacing w:after="0"/>
      <w:ind w:left="1320"/>
    </w:pPr>
    <w:rPr>
      <w:sz w:val="18"/>
      <w:szCs w:val="18"/>
    </w:rPr>
  </w:style>
  <w:style w:type="paragraph" w:customStyle="1" w:styleId="TOC81">
    <w:name w:val="TOC 81"/>
    <w:basedOn w:val="Normal"/>
    <w:next w:val="Normal"/>
    <w:autoRedefine/>
    <w:semiHidden/>
    <w:unhideWhenUsed/>
    <w:rsid w:val="001A4F17"/>
    <w:pPr>
      <w:spacing w:after="0"/>
      <w:ind w:left="1540"/>
    </w:pPr>
    <w:rPr>
      <w:sz w:val="18"/>
      <w:szCs w:val="18"/>
    </w:rPr>
  </w:style>
  <w:style w:type="paragraph" w:customStyle="1" w:styleId="TOC91">
    <w:name w:val="TOC 91"/>
    <w:basedOn w:val="Normal"/>
    <w:next w:val="Normal"/>
    <w:autoRedefine/>
    <w:semiHidden/>
    <w:unhideWhenUsed/>
    <w:rsid w:val="001A4F17"/>
    <w:pPr>
      <w:spacing w:after="0"/>
      <w:ind w:left="1760"/>
    </w:pPr>
    <w:rPr>
      <w:sz w:val="18"/>
      <w:szCs w:val="18"/>
    </w:rPr>
  </w:style>
  <w:style w:type="paragraph" w:customStyle="1" w:styleId="FootnoteText1">
    <w:name w:val="Footnote Text1"/>
    <w:basedOn w:val="Normal"/>
    <w:rsid w:val="00B86986"/>
  </w:style>
  <w:style w:type="paragraph" w:customStyle="1" w:styleId="TableContents">
    <w:name w:val="Table Contents"/>
    <w:basedOn w:val="Normal"/>
    <w:qFormat/>
    <w:rsid w:val="00B86986"/>
  </w:style>
  <w:style w:type="table" w:styleId="TableGrid">
    <w:name w:val="Table Grid"/>
    <w:basedOn w:val="TableNormal"/>
    <w:uiPriority w:val="59"/>
    <w:rsid w:val="00734629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6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7DD"/>
  </w:style>
  <w:style w:type="paragraph" w:styleId="Footer">
    <w:name w:val="footer"/>
    <w:basedOn w:val="Normal"/>
    <w:link w:val="FooterChar"/>
    <w:unhideWhenUsed/>
    <w:rsid w:val="00456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67DD"/>
  </w:style>
  <w:style w:type="paragraph" w:styleId="TOC1">
    <w:name w:val="toc 1"/>
    <w:basedOn w:val="Normal"/>
    <w:next w:val="Normal"/>
    <w:autoRedefine/>
    <w:uiPriority w:val="39"/>
    <w:unhideWhenUsed/>
    <w:rsid w:val="002708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085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7085D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BE6C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6CB3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BE6CB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NyqXYQR5iBo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https://youtu.be/g978T58gE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bosman/Desktop/Martine/GenderEquality/IFAE_Genere_FollowUp_Statistics_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bosman/Desktop/Martine/GenderEquality/IFAE_Genere_FollowUp_Statistics_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bosman/Desktop/Martine/GenderEquality/IFAE_Genere_FollowUp_Statistics_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bosman/Desktop/Martine/GenderEquality/IFAE_Genere_FollowUp_Statistics_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IFAE personnel all categories (percentage)</a:t>
            </a:r>
          </a:p>
          <a:p>
            <a:pPr>
              <a:defRPr/>
            </a:pPr>
            <a:r>
              <a:rPr lang="en-US"/>
              <a:t>Research, Technical, Management, Administration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IFAE Female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'Personnel IFAE'!$C$70:$G$70</c:f>
              <c:numCache>
                <c:formatCode>0%</c:formatCode>
                <c:ptCount val="5"/>
                <c:pt idx="0">
                  <c:v>0.29090909090909089</c:v>
                </c:pt>
                <c:pt idx="1">
                  <c:v>0.23140495867768596</c:v>
                </c:pt>
                <c:pt idx="2">
                  <c:v>0.22033898305084745</c:v>
                </c:pt>
                <c:pt idx="3">
                  <c:v>0.24299065420560748</c:v>
                </c:pt>
                <c:pt idx="4">
                  <c:v>0.28440366972477066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F5-B947-9AC1-8FCC278341AB}"/>
            </c:ext>
          </c:extLst>
        </c:ser>
        <c:ser>
          <c:idx val="1"/>
          <c:order val="1"/>
          <c:tx>
            <c:v>IFAE Male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'Personnel IFAE'!$C$71:$G$71</c:f>
              <c:numCache>
                <c:formatCode>0%</c:formatCode>
                <c:ptCount val="5"/>
                <c:pt idx="0">
                  <c:v>0.70909090909090911</c:v>
                </c:pt>
                <c:pt idx="1">
                  <c:v>0.76859504132231404</c:v>
                </c:pt>
                <c:pt idx="2">
                  <c:v>0.77966101694915257</c:v>
                </c:pt>
                <c:pt idx="3">
                  <c:v>0.7570093457943925</c:v>
                </c:pt>
                <c:pt idx="4">
                  <c:v>0.7155963302752294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F5-B947-9AC1-8FCC27834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037648"/>
        <c:axId val="1882039376"/>
      </c:lineChart>
      <c:catAx>
        <c:axId val="18820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9376"/>
        <c:crosses val="autoZero"/>
        <c:auto val="1"/>
        <c:lblAlgn val="ctr"/>
        <c:lblOffset val="100"/>
        <c:noMultiLvlLbl val="0"/>
      </c:catAx>
      <c:valAx>
        <c:axId val="188203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IFAE Master, PhD students and Postdocs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Female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'Personnel IFAE'!$C$80:$G$80</c:f>
              <c:numCache>
                <c:formatCode>0%</c:formatCode>
                <c:ptCount val="5"/>
                <c:pt idx="0">
                  <c:v>0.30303030303030304</c:v>
                </c:pt>
                <c:pt idx="1">
                  <c:v>0.18181818181818182</c:v>
                </c:pt>
                <c:pt idx="2">
                  <c:v>0.26829268292682928</c:v>
                </c:pt>
                <c:pt idx="3">
                  <c:v>0.3</c:v>
                </c:pt>
                <c:pt idx="4">
                  <c:v>0.30555555555555558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C0-BF47-9B90-84BB35033613}"/>
            </c:ext>
          </c:extLst>
        </c:ser>
        <c:ser>
          <c:idx val="1"/>
          <c:order val="1"/>
          <c:tx>
            <c:v>Male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'Personnel IFAE'!$C$81:$G$81</c:f>
              <c:numCache>
                <c:formatCode>0%</c:formatCode>
                <c:ptCount val="5"/>
                <c:pt idx="0">
                  <c:v>0.69696969696969702</c:v>
                </c:pt>
                <c:pt idx="1">
                  <c:v>0.81818181818181823</c:v>
                </c:pt>
                <c:pt idx="2">
                  <c:v>0.73170731707317072</c:v>
                </c:pt>
                <c:pt idx="3">
                  <c:v>0.7</c:v>
                </c:pt>
                <c:pt idx="4">
                  <c:v>0.69444444444444442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C0-BF47-9B90-84BB35033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037648"/>
        <c:axId val="1882039376"/>
      </c:lineChart>
      <c:catAx>
        <c:axId val="18820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9376"/>
        <c:crosses val="autoZero"/>
        <c:auto val="1"/>
        <c:lblAlgn val="ctr"/>
        <c:lblOffset val="100"/>
        <c:noMultiLvlLbl val="0"/>
      </c:catAx>
      <c:valAx>
        <c:axId val="188203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IFAE Institutional bodies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Consell de Govern Female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'PI &amp; WG'!$D$33:$I$33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0.33333333333333331</c:v>
                </c:pt>
                <c:pt idx="4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AF-8343-A040-BBB573633E98}"/>
            </c:ext>
          </c:extLst>
        </c:ser>
        <c:ser>
          <c:idx val="1"/>
          <c:order val="1"/>
          <c:tx>
            <c:v>Consell de Govern Male</c:v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'Personnel IFAE'!$C$62:$G$62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'PI &amp; WG'!$D$34:$I$34</c:f>
              <c:numCache>
                <c:formatCode>0%</c:formatCode>
                <c:ptCount val="5"/>
                <c:pt idx="0">
                  <c:v>0.86</c:v>
                </c:pt>
                <c:pt idx="1">
                  <c:v>0.83333333333333337</c:v>
                </c:pt>
                <c:pt idx="2">
                  <c:v>0.83333333333333337</c:v>
                </c:pt>
                <c:pt idx="3">
                  <c:v>0.66666666666666663</c:v>
                </c:pt>
                <c:pt idx="4">
                  <c:v>0.66666666666666663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AF-8343-A040-BBB573633E98}"/>
            </c:ext>
          </c:extLst>
        </c:ser>
        <c:ser>
          <c:idx val="2"/>
          <c:order val="2"/>
          <c:tx>
            <c:v>Scientific Committee Female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'PI &amp; WG'!$D$35:$I$35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AF-8343-A040-BBB573633E98}"/>
            </c:ext>
          </c:extLst>
        </c:ser>
        <c:ser>
          <c:idx val="3"/>
          <c:order val="3"/>
          <c:tx>
            <c:v>Scientific Committee Male</c:v>
          </c:tx>
          <c:spPr>
            <a:ln w="285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 &amp; WG'!$D$36:$I$36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AF-8343-A040-BBB573633E98}"/>
            </c:ext>
          </c:extLst>
        </c:ser>
        <c:ser>
          <c:idx val="4"/>
          <c:order val="4"/>
          <c:tx>
            <c:v>Advisory Team Female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'PI &amp; WG'!$D$37:$I$37</c:f>
              <c:numCache>
                <c:formatCode>0%</c:formatCode>
                <c:ptCount val="5"/>
                <c:pt idx="0">
                  <c:v>7.0000000000000007E-2</c:v>
                </c:pt>
                <c:pt idx="1">
                  <c:v>6.6666666666666666E-2</c:v>
                </c:pt>
                <c:pt idx="2">
                  <c:v>6.6666666666666666E-2</c:v>
                </c:pt>
                <c:pt idx="3">
                  <c:v>5.2631578947368418E-2</c:v>
                </c:pt>
                <c:pt idx="4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5AF-8343-A040-BBB573633E98}"/>
            </c:ext>
          </c:extLst>
        </c:ser>
        <c:ser>
          <c:idx val="5"/>
          <c:order val="5"/>
          <c:tx>
            <c:v>Advisory Team Male</c:v>
          </c:tx>
          <c:spPr>
            <a:ln w="28575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 &amp; WG'!$D$38:$I$38</c:f>
              <c:numCache>
                <c:formatCode>0%</c:formatCode>
                <c:ptCount val="5"/>
                <c:pt idx="0">
                  <c:v>0.93</c:v>
                </c:pt>
                <c:pt idx="1">
                  <c:v>0.93333333333333335</c:v>
                </c:pt>
                <c:pt idx="2">
                  <c:v>0.93333333333333335</c:v>
                </c:pt>
                <c:pt idx="3">
                  <c:v>0.94736842105263153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5AF-8343-A040-BBB573633E98}"/>
            </c:ext>
          </c:extLst>
        </c:ser>
        <c:ser>
          <c:idx val="6"/>
          <c:order val="6"/>
          <c:tx>
            <c:v>Management team Female</c:v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val>
            <c:numRef>
              <c:f>'PI &amp; WG'!$D$39:$I$39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5AF-8343-A040-BBB573633E98}"/>
            </c:ext>
          </c:extLst>
        </c:ser>
        <c:ser>
          <c:idx val="7"/>
          <c:order val="7"/>
          <c:tx>
            <c:v>Management Team Male</c:v>
          </c:tx>
          <c:spPr>
            <a:ln w="2857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'PI &amp; WG'!$D$40:$I$40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5AF-8343-A040-BBB573633E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037648"/>
        <c:axId val="1882039376"/>
      </c:lineChart>
      <c:catAx>
        <c:axId val="18820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9376"/>
        <c:crosses val="autoZero"/>
        <c:auto val="1"/>
        <c:lblAlgn val="ctr"/>
        <c:lblOffset val="100"/>
        <c:noMultiLvlLbl val="0"/>
      </c:catAx>
      <c:valAx>
        <c:axId val="1882039376"/>
        <c:scaling>
          <c:orientation val="minMax"/>
          <c:max val="1.1000000000000001"/>
          <c:min val="-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764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6419855412810236"/>
          <c:y val="0.16992479153586518"/>
          <c:w val="0.32500456013882267"/>
          <c:h val="0.73817846283080057"/>
        </c:manualLayout>
      </c:layout>
      <c:overlay val="0"/>
      <c:spPr>
        <a:noFill/>
        <a:ln>
          <a:solidFill>
            <a:srgbClr val="7030A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IFAE evolution from undergraduate to staff</a:t>
            </a:r>
          </a:p>
          <a:p>
            <a:pPr>
              <a:defRPr/>
            </a:pPr>
            <a:r>
              <a:rPr lang="en-US"/>
              <a:t>average 2015-2019</a:t>
            </a:r>
          </a:p>
        </c:rich>
      </c:tx>
      <c:layout>
        <c:manualLayout>
          <c:xMode val="edge"/>
          <c:yMode val="edge"/>
          <c:x val="0.18084449336825104"/>
          <c:y val="4.44962133626874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9.4333555394818872E-2"/>
          <c:y val="0.2177896943966941"/>
          <c:w val="0.7303399581109743"/>
          <c:h val="0.59533321675771345"/>
        </c:manualLayout>
      </c:layout>
      <c:lineChart>
        <c:grouping val="standard"/>
        <c:varyColors val="0"/>
        <c:ser>
          <c:idx val="0"/>
          <c:order val="0"/>
          <c:tx>
            <c:v>Female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'Personnel IFAE'!$C$87:$G$87</c:f>
              <c:strCache>
                <c:ptCount val="5"/>
                <c:pt idx="0">
                  <c:v>Summer Students</c:v>
                </c:pt>
                <c:pt idx="1">
                  <c:v>Master</c:v>
                </c:pt>
                <c:pt idx="2">
                  <c:v>PhD</c:v>
                </c:pt>
                <c:pt idx="3">
                  <c:v>Postdoc</c:v>
                </c:pt>
                <c:pt idx="4">
                  <c:v>Staff</c:v>
                </c:pt>
              </c:strCache>
            </c:strRef>
          </c:cat>
          <c:val>
            <c:numRef>
              <c:f>'Personnel IFAE'!$C$88:$G$88</c:f>
              <c:numCache>
                <c:formatCode>0%</c:formatCode>
                <c:ptCount val="5"/>
                <c:pt idx="0">
                  <c:v>0.50962962962962965</c:v>
                </c:pt>
                <c:pt idx="1">
                  <c:v>0.23979242979242973</c:v>
                </c:pt>
                <c:pt idx="2">
                  <c:v>0.31636153460271765</c:v>
                </c:pt>
                <c:pt idx="3">
                  <c:v>0.23595652173913045</c:v>
                </c:pt>
                <c:pt idx="4">
                  <c:v>0.18308823529411766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BB-B44C-9268-55D6698521C2}"/>
            </c:ext>
          </c:extLst>
        </c:ser>
        <c:ser>
          <c:idx val="1"/>
          <c:order val="1"/>
          <c:tx>
            <c:v>Male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'Personnel IFAE'!$C$89:$G$89</c:f>
              <c:numCache>
                <c:formatCode>0%</c:formatCode>
                <c:ptCount val="5"/>
                <c:pt idx="0">
                  <c:v>0.49037037037037035</c:v>
                </c:pt>
                <c:pt idx="1">
                  <c:v>0.76020757020757013</c:v>
                </c:pt>
                <c:pt idx="2">
                  <c:v>0.68363846539728235</c:v>
                </c:pt>
                <c:pt idx="3">
                  <c:v>0.7640434782608696</c:v>
                </c:pt>
                <c:pt idx="4">
                  <c:v>0.81691176470588223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BB-B44C-9268-55D669852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2037648"/>
        <c:axId val="1882039376"/>
      </c:lineChart>
      <c:catAx>
        <c:axId val="188203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9376"/>
        <c:crosses val="autoZero"/>
        <c:auto val="1"/>
        <c:lblAlgn val="ctr"/>
        <c:lblOffset val="100"/>
        <c:noMultiLvlLbl val="0"/>
      </c:catAx>
      <c:valAx>
        <c:axId val="188203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8203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83762993402427444"/>
          <c:y val="0.31220161339383801"/>
          <c:w val="0.14682236135354806"/>
          <c:h val="0.136523428355204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Action Plan 2016-2019 </Abstract>
  <CompanyAddress/>
  <CompanyPhone/>
  <CompanyFax/>
  <CompanyEmail>February 2016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7F1A3-AD9F-2041-9390-58F2DFE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diversity strategy for ifae researchers</vt:lpstr>
      <vt:lpstr>a diversity strategy for ifae researchers</vt:lpstr>
    </vt:vector>
  </TitlesOfParts>
  <Manager/>
  <Company>Departament d'Innovació, Universitats i Empresa</Company>
  <LinksUpToDate>false</LinksUpToDate>
  <CharactersWithSpaces>9313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diversity strategy for ifae researchers</dc:title>
  <dc:subject>Submitted to the HR Excellence in Research Award</dc:subject>
  <dc:creator>Institut de Física d’Altes Energies (IFAE)</dc:creator>
  <cp:keywords/>
  <dc:description/>
  <cp:lastModifiedBy>Martine Bosman</cp:lastModifiedBy>
  <cp:revision>4</cp:revision>
  <cp:lastPrinted>2019-03-20T11:08:00Z</cp:lastPrinted>
  <dcterms:created xsi:type="dcterms:W3CDTF">2021-03-05T18:04:00Z</dcterms:created>
  <dcterms:modified xsi:type="dcterms:W3CDTF">2021-05-20T10:43:00Z</dcterms:modified>
  <cp:category/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d'Innovació, Universitats i Empresa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